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A9" w:rsidRDefault="002F6B1B" w:rsidP="0069720D">
      <w:pPr>
        <w:pStyle w:val="Sinespaciado"/>
        <w:jc w:val="both"/>
        <w:rPr>
          <w:rFonts w:ascii="Arial" w:hAnsi="Arial" w:cs="Arial"/>
          <w:b/>
          <w:sz w:val="24"/>
          <w:szCs w:val="24"/>
        </w:rPr>
      </w:pPr>
      <w:r w:rsidRPr="00342A7D">
        <w:rPr>
          <w:rFonts w:ascii="Arial" w:hAnsi="Arial" w:cs="Arial"/>
          <w:b/>
          <w:sz w:val="24"/>
          <w:szCs w:val="24"/>
        </w:rPr>
        <w:t>ACUERDO C-</w:t>
      </w:r>
      <w:r w:rsidR="007736A8">
        <w:rPr>
          <w:rFonts w:ascii="Arial" w:hAnsi="Arial" w:cs="Arial"/>
          <w:b/>
          <w:sz w:val="24"/>
          <w:szCs w:val="24"/>
        </w:rPr>
        <w:t>145</w:t>
      </w:r>
      <w:r>
        <w:rPr>
          <w:rFonts w:ascii="Arial" w:hAnsi="Arial" w:cs="Arial"/>
          <w:b/>
          <w:sz w:val="24"/>
          <w:szCs w:val="24"/>
        </w:rPr>
        <w:t>/2020 EMITIDO POR EL</w:t>
      </w:r>
      <w:r w:rsidRPr="00342A7D">
        <w:rPr>
          <w:rFonts w:ascii="Arial" w:hAnsi="Arial" w:cs="Arial"/>
          <w:b/>
          <w:sz w:val="24"/>
          <w:szCs w:val="24"/>
        </w:rPr>
        <w:t xml:space="preserve"> CONSEJO DE LA JUDICATURA EN SESIÓN CELEBRADA EL </w:t>
      </w:r>
      <w:r w:rsidR="00F54D0A">
        <w:rPr>
          <w:rFonts w:ascii="Arial" w:hAnsi="Arial" w:cs="Arial"/>
          <w:b/>
          <w:sz w:val="24"/>
          <w:szCs w:val="24"/>
        </w:rPr>
        <w:t>DIEZ</w:t>
      </w:r>
      <w:r>
        <w:rPr>
          <w:rFonts w:ascii="Arial" w:hAnsi="Arial" w:cs="Arial"/>
          <w:b/>
          <w:sz w:val="24"/>
          <w:szCs w:val="24"/>
        </w:rPr>
        <w:t xml:space="preserve"> DE DICIEMBRE DE DOS MIL VEINTE</w:t>
      </w:r>
      <w:r w:rsidRPr="00342A7D">
        <w:rPr>
          <w:rFonts w:ascii="Arial" w:hAnsi="Arial" w:cs="Arial"/>
          <w:b/>
          <w:sz w:val="24"/>
          <w:szCs w:val="24"/>
        </w:rPr>
        <w:t xml:space="preserve">, MEDIANTE EL CUAL SE DETERMINA LA </w:t>
      </w:r>
      <w:r>
        <w:rPr>
          <w:rFonts w:ascii="Arial" w:hAnsi="Arial" w:cs="Arial"/>
          <w:b/>
          <w:sz w:val="24"/>
          <w:szCs w:val="24"/>
        </w:rPr>
        <w:t>SUPRESIÓN DEL TRIBUNAL DE APELACIÓN ESPECIALIZADO EN MATERIA DE ADOLESCENTES DEL PODER JUDICIAL DEL ESTADO DE COAHUILA DE ZARAGOZA.</w:t>
      </w:r>
    </w:p>
    <w:p w:rsidR="009417A9" w:rsidRDefault="009417A9" w:rsidP="009417A9">
      <w:pPr>
        <w:pStyle w:val="Sinespaciado"/>
        <w:jc w:val="both"/>
        <w:rPr>
          <w:rFonts w:ascii="Arial" w:hAnsi="Arial" w:cs="Arial"/>
          <w:b/>
          <w:sz w:val="24"/>
          <w:szCs w:val="24"/>
        </w:rPr>
      </w:pPr>
    </w:p>
    <w:p w:rsidR="0069720D" w:rsidRPr="009417A9" w:rsidRDefault="0069720D" w:rsidP="009417A9">
      <w:pPr>
        <w:pStyle w:val="Sinespaciado"/>
        <w:jc w:val="both"/>
        <w:rPr>
          <w:rFonts w:ascii="Arial" w:hAnsi="Arial" w:cs="Arial"/>
          <w:b/>
          <w:sz w:val="24"/>
          <w:szCs w:val="24"/>
        </w:rPr>
      </w:pPr>
    </w:p>
    <w:p w:rsidR="002F6B1B" w:rsidRPr="002B7DC4" w:rsidRDefault="002F6B1B" w:rsidP="002F6B1B">
      <w:pPr>
        <w:pStyle w:val="Default"/>
        <w:jc w:val="center"/>
        <w:rPr>
          <w:b/>
        </w:rPr>
      </w:pPr>
      <w:r>
        <w:rPr>
          <w:b/>
        </w:rPr>
        <w:t>C O N S I D E R A C I O N E S</w:t>
      </w:r>
    </w:p>
    <w:p w:rsidR="00574745" w:rsidRDefault="00574745" w:rsidP="002F6B1B">
      <w:pPr>
        <w:pStyle w:val="Default"/>
        <w:spacing w:line="360" w:lineRule="auto"/>
        <w:jc w:val="both"/>
      </w:pPr>
    </w:p>
    <w:p w:rsidR="002F6B1B" w:rsidRDefault="002F6B1B" w:rsidP="002F6B1B">
      <w:pPr>
        <w:spacing w:line="360" w:lineRule="auto"/>
        <w:rPr>
          <w:rFonts w:ascii="Arial" w:hAnsi="Arial" w:cs="Arial"/>
          <w:color w:val="000000"/>
        </w:rPr>
      </w:pPr>
      <w:r w:rsidRPr="002F6B1B">
        <w:rPr>
          <w:rFonts w:ascii="Arial" w:hAnsi="Arial" w:cs="Arial"/>
          <w:b/>
          <w:color w:val="000000"/>
        </w:rPr>
        <w:t>Primero.</w:t>
      </w:r>
      <w:r>
        <w:rPr>
          <w:rFonts w:ascii="Arial" w:hAnsi="Arial" w:cs="Arial"/>
          <w:color w:val="000000"/>
        </w:rPr>
        <w:t xml:space="preserve"> De acuerdo con el artículo 143 de la Constitución Política del Estado de Coahuila de Zaragoza, el Consejo de la Judicatura es un órgano del Poder Judicial del Estado que tiene como funciones la administración, vigilancia y disciplina de los órganos jurisdiccionales. </w:t>
      </w:r>
    </w:p>
    <w:p w:rsidR="00716569" w:rsidRDefault="00716569" w:rsidP="002F6B1B">
      <w:pPr>
        <w:spacing w:line="360" w:lineRule="auto"/>
        <w:rPr>
          <w:rFonts w:ascii="Arial" w:hAnsi="Arial" w:cs="Arial"/>
          <w:color w:val="000000"/>
        </w:rPr>
      </w:pPr>
    </w:p>
    <w:p w:rsidR="00716569" w:rsidRDefault="00716569" w:rsidP="002F6B1B">
      <w:pPr>
        <w:spacing w:line="360" w:lineRule="auto"/>
        <w:rPr>
          <w:rFonts w:ascii="Arial" w:hAnsi="Arial" w:cs="Arial"/>
          <w:color w:val="000000"/>
        </w:rPr>
      </w:pPr>
      <w:r w:rsidRPr="00AE00CE">
        <w:rPr>
          <w:rFonts w:ascii="Arial" w:hAnsi="Arial" w:cs="Arial"/>
          <w:b/>
          <w:color w:val="000000"/>
        </w:rPr>
        <w:t>Segundo.</w:t>
      </w:r>
      <w:r>
        <w:rPr>
          <w:rFonts w:ascii="Arial" w:hAnsi="Arial" w:cs="Arial"/>
          <w:color w:val="000000"/>
        </w:rPr>
        <w:t xml:space="preserve"> </w:t>
      </w:r>
      <w:r w:rsidR="00AE00CE">
        <w:rPr>
          <w:rFonts w:ascii="Arial" w:hAnsi="Arial" w:cs="Arial"/>
          <w:color w:val="000000"/>
        </w:rPr>
        <w:t xml:space="preserve">Conforme a las fracciones </w:t>
      </w:r>
      <w:r w:rsidR="009D2056">
        <w:rPr>
          <w:rFonts w:ascii="Arial" w:hAnsi="Arial" w:cs="Arial"/>
          <w:color w:val="000000"/>
        </w:rPr>
        <w:t>III, VIII</w:t>
      </w:r>
      <w:r w:rsidR="002A12ED">
        <w:rPr>
          <w:rFonts w:ascii="Arial" w:hAnsi="Arial" w:cs="Arial"/>
          <w:color w:val="000000"/>
        </w:rPr>
        <w:t xml:space="preserve"> y XVII, del artículo 57</w:t>
      </w:r>
      <w:r w:rsidR="00E55F0F">
        <w:rPr>
          <w:rFonts w:ascii="Arial" w:hAnsi="Arial" w:cs="Arial"/>
          <w:color w:val="000000"/>
        </w:rPr>
        <w:t xml:space="preserve"> de la Ley Orgánica del Poder Judicial del Estado de Coahuila de Zaragoza, el </w:t>
      </w:r>
      <w:r w:rsidR="00AE00CE">
        <w:rPr>
          <w:rFonts w:ascii="Arial" w:hAnsi="Arial" w:cs="Arial"/>
          <w:color w:val="000000"/>
        </w:rPr>
        <w:t xml:space="preserve">Consejo de la Judicatura del Estado tiene, entre otras funciones, las siguientes: </w:t>
      </w:r>
      <w:r w:rsidR="00A921B7">
        <w:rPr>
          <w:rFonts w:ascii="Arial" w:hAnsi="Arial" w:cs="Arial"/>
          <w:color w:val="000000"/>
        </w:rPr>
        <w:t xml:space="preserve">a </w:t>
      </w:r>
      <w:r w:rsidR="00746780">
        <w:rPr>
          <w:rFonts w:ascii="Arial" w:hAnsi="Arial" w:cs="Arial"/>
          <w:color w:val="000000"/>
        </w:rPr>
        <w:t xml:space="preserve">propuesta de su Presidente, cambiar la adscripción de los titulares y demás servidores públicos de los órganos jurisdiccionales; supervisar el funcionamiento de los órganos que integran al Poder Judicial y dictar las providencias necesarias para el mejoramiento de la administración de justicia; y </w:t>
      </w:r>
      <w:r w:rsidR="0074072C">
        <w:rPr>
          <w:rFonts w:ascii="Arial" w:hAnsi="Arial" w:cs="Arial"/>
          <w:color w:val="000000"/>
        </w:rPr>
        <w:t xml:space="preserve">suprimir los órganos jurisdiccionales que en el ámbito de su competencia le corresponda, en atención a las necesidades del servicio y a la disponibilidad presupuestal. </w:t>
      </w:r>
    </w:p>
    <w:p w:rsidR="0074072C" w:rsidRDefault="0074072C" w:rsidP="002F6B1B">
      <w:pPr>
        <w:spacing w:line="360" w:lineRule="auto"/>
        <w:rPr>
          <w:rFonts w:ascii="Arial" w:hAnsi="Arial" w:cs="Arial"/>
          <w:color w:val="000000"/>
        </w:rPr>
      </w:pPr>
    </w:p>
    <w:p w:rsidR="0074072C" w:rsidRDefault="0074072C" w:rsidP="002F6B1B">
      <w:pPr>
        <w:spacing w:line="360" w:lineRule="auto"/>
        <w:rPr>
          <w:rFonts w:ascii="Arial" w:hAnsi="Arial" w:cs="Arial"/>
          <w:color w:val="000000"/>
        </w:rPr>
      </w:pPr>
      <w:r w:rsidRPr="0074072C">
        <w:rPr>
          <w:rFonts w:ascii="Arial" w:hAnsi="Arial" w:cs="Arial"/>
          <w:b/>
          <w:color w:val="000000"/>
        </w:rPr>
        <w:t>Tercero.</w:t>
      </w:r>
      <w:r w:rsidR="00387017">
        <w:rPr>
          <w:rFonts w:ascii="Arial" w:hAnsi="Arial" w:cs="Arial"/>
          <w:color w:val="000000"/>
        </w:rPr>
        <w:t xml:space="preserve"> Este Consejo de la Judicatura emitió el acuerdo </w:t>
      </w:r>
      <w:r w:rsidR="00733F98">
        <w:rPr>
          <w:rFonts w:ascii="Arial" w:hAnsi="Arial" w:cs="Arial"/>
          <w:color w:val="000000"/>
        </w:rPr>
        <w:t xml:space="preserve">C-61/2006 el 11 de septiembre de 2006, mediante el cual autorizó la creación del Tribunal de Apelación </w:t>
      </w:r>
      <w:r w:rsidR="002716FB">
        <w:rPr>
          <w:rFonts w:ascii="Arial" w:hAnsi="Arial" w:cs="Arial"/>
          <w:color w:val="000000"/>
        </w:rPr>
        <w:t>E</w:t>
      </w:r>
      <w:r w:rsidR="00733F98">
        <w:rPr>
          <w:rFonts w:ascii="Arial" w:hAnsi="Arial" w:cs="Arial"/>
          <w:color w:val="000000"/>
        </w:rPr>
        <w:t>specializado en Materia de Adolescentes del Poder Judicial del Estado de Coahuila de</w:t>
      </w:r>
      <w:r w:rsidR="00AA1EEC">
        <w:rPr>
          <w:rFonts w:ascii="Arial" w:hAnsi="Arial" w:cs="Arial"/>
          <w:color w:val="000000"/>
        </w:rPr>
        <w:t xml:space="preserve"> Zaragoza</w:t>
      </w:r>
      <w:r w:rsidR="00D76066">
        <w:rPr>
          <w:rFonts w:ascii="Arial" w:hAnsi="Arial" w:cs="Arial"/>
          <w:color w:val="000000"/>
        </w:rPr>
        <w:t xml:space="preserve"> (en adelante ‘Tribunal de Adolescentes’)</w:t>
      </w:r>
      <w:r w:rsidR="00764728">
        <w:rPr>
          <w:rStyle w:val="Refdenotaalpie"/>
          <w:rFonts w:ascii="Arial" w:hAnsi="Arial" w:cs="Arial"/>
          <w:color w:val="000000"/>
        </w:rPr>
        <w:footnoteReference w:id="1"/>
      </w:r>
      <w:r w:rsidR="00733F98">
        <w:rPr>
          <w:rFonts w:ascii="Arial" w:hAnsi="Arial" w:cs="Arial"/>
          <w:color w:val="000000"/>
        </w:rPr>
        <w:t xml:space="preserve">. </w:t>
      </w:r>
    </w:p>
    <w:p w:rsidR="00164720" w:rsidRDefault="00164720" w:rsidP="002F6B1B">
      <w:pPr>
        <w:spacing w:line="360" w:lineRule="auto"/>
        <w:rPr>
          <w:rFonts w:ascii="Arial" w:hAnsi="Arial" w:cs="Arial"/>
          <w:color w:val="000000"/>
        </w:rPr>
      </w:pPr>
    </w:p>
    <w:p w:rsidR="00D01578" w:rsidRDefault="00100EFA" w:rsidP="002F6B1B">
      <w:pPr>
        <w:spacing w:line="360" w:lineRule="auto"/>
        <w:rPr>
          <w:rFonts w:ascii="Arial" w:hAnsi="Arial" w:cs="Arial"/>
          <w:color w:val="000000"/>
        </w:rPr>
      </w:pPr>
      <w:r>
        <w:rPr>
          <w:rFonts w:ascii="Arial" w:hAnsi="Arial" w:cs="Arial"/>
          <w:color w:val="000000"/>
        </w:rPr>
        <w:t xml:space="preserve">El Consejo de la Judicatura </w:t>
      </w:r>
      <w:r w:rsidR="00EF0F1A">
        <w:rPr>
          <w:rFonts w:ascii="Arial" w:hAnsi="Arial" w:cs="Arial"/>
          <w:color w:val="000000"/>
        </w:rPr>
        <w:t>autorizó</w:t>
      </w:r>
      <w:r>
        <w:rPr>
          <w:rFonts w:ascii="Arial" w:hAnsi="Arial" w:cs="Arial"/>
          <w:color w:val="000000"/>
        </w:rPr>
        <w:t xml:space="preserve"> la creación de este tribunal a fin de cumplir con la reforma constitucional al artículo 18 de la Constitución Política de los Estados Unidos Mexicanos</w:t>
      </w:r>
      <w:r w:rsidR="002D10B6">
        <w:rPr>
          <w:rFonts w:ascii="Arial" w:hAnsi="Arial" w:cs="Arial"/>
          <w:color w:val="000000"/>
        </w:rPr>
        <w:t>,</w:t>
      </w:r>
      <w:r>
        <w:rPr>
          <w:rFonts w:ascii="Arial" w:hAnsi="Arial" w:cs="Arial"/>
          <w:color w:val="000000"/>
        </w:rPr>
        <w:t xml:space="preserve"> publicada en el Diario Oficial de la Federación el 12 de diciembre de 2005. Co</w:t>
      </w:r>
      <w:r w:rsidR="002D10B6">
        <w:rPr>
          <w:rFonts w:ascii="Arial" w:hAnsi="Arial" w:cs="Arial"/>
          <w:color w:val="000000"/>
        </w:rPr>
        <w:t>n esta reforma</w:t>
      </w:r>
      <w:r>
        <w:rPr>
          <w:rFonts w:ascii="Arial" w:hAnsi="Arial" w:cs="Arial"/>
          <w:color w:val="000000"/>
        </w:rPr>
        <w:t xml:space="preserve"> se implementó el sistema integral de justicia penal para adolescentes entre los 12 y los 18 años</w:t>
      </w:r>
      <w:r w:rsidR="00D01578">
        <w:rPr>
          <w:rFonts w:ascii="Arial" w:hAnsi="Arial" w:cs="Arial"/>
          <w:color w:val="000000"/>
        </w:rPr>
        <w:t xml:space="preserve">. De acuerdo con el párrafo </w:t>
      </w:r>
      <w:r w:rsidR="00A134F6">
        <w:rPr>
          <w:rFonts w:ascii="Arial" w:hAnsi="Arial" w:cs="Arial"/>
          <w:color w:val="000000"/>
        </w:rPr>
        <w:t>quinto</w:t>
      </w:r>
      <w:r w:rsidR="00D01578">
        <w:rPr>
          <w:rFonts w:ascii="Arial" w:hAnsi="Arial" w:cs="Arial"/>
          <w:color w:val="000000"/>
        </w:rPr>
        <w:t xml:space="preserve"> del artículo 18 reformado, la operación del sistema integral de justicia para adolescentes estaría a cargo de </w:t>
      </w:r>
      <w:r w:rsidR="000B3DA5">
        <w:rPr>
          <w:rFonts w:ascii="Arial" w:hAnsi="Arial" w:cs="Arial"/>
          <w:color w:val="000000"/>
        </w:rPr>
        <w:t xml:space="preserve">instituciones, tribunales y autoridades especializados en la procuración e impartición de justicia para adolescentes. </w:t>
      </w:r>
    </w:p>
    <w:p w:rsidR="000B3DA5" w:rsidRDefault="000B3DA5" w:rsidP="002F6B1B">
      <w:pPr>
        <w:spacing w:line="360" w:lineRule="auto"/>
        <w:rPr>
          <w:rFonts w:ascii="Arial" w:hAnsi="Arial" w:cs="Arial"/>
          <w:color w:val="000000"/>
        </w:rPr>
      </w:pPr>
    </w:p>
    <w:p w:rsidR="00FE198B" w:rsidRDefault="000B3DA5" w:rsidP="002F6B1B">
      <w:pPr>
        <w:spacing w:line="360" w:lineRule="auto"/>
        <w:rPr>
          <w:rFonts w:ascii="Arial" w:hAnsi="Arial" w:cs="Arial"/>
          <w:color w:val="000000"/>
        </w:rPr>
      </w:pPr>
      <w:r w:rsidRPr="000B3DA5">
        <w:rPr>
          <w:rFonts w:ascii="Arial" w:hAnsi="Arial" w:cs="Arial"/>
          <w:b/>
          <w:color w:val="000000"/>
        </w:rPr>
        <w:lastRenderedPageBreak/>
        <w:t>Cuarto.</w:t>
      </w:r>
      <w:r w:rsidR="002D10B6">
        <w:rPr>
          <w:rFonts w:ascii="Arial" w:hAnsi="Arial" w:cs="Arial"/>
          <w:color w:val="000000"/>
        </w:rPr>
        <w:t xml:space="preserve"> Sin embargo, este Consejo considera </w:t>
      </w:r>
      <w:r w:rsidR="002716FB">
        <w:rPr>
          <w:rFonts w:ascii="Arial" w:hAnsi="Arial" w:cs="Arial"/>
          <w:color w:val="000000"/>
        </w:rPr>
        <w:t>necesario suprimir este Tribunal de Apelación Especializado en Materia de A</w:t>
      </w:r>
      <w:r w:rsidR="00674E23">
        <w:rPr>
          <w:rFonts w:ascii="Arial" w:hAnsi="Arial" w:cs="Arial"/>
          <w:color w:val="000000"/>
        </w:rPr>
        <w:t>dolescentes</w:t>
      </w:r>
      <w:r w:rsidR="002716FB">
        <w:rPr>
          <w:rFonts w:ascii="Arial" w:hAnsi="Arial" w:cs="Arial"/>
          <w:color w:val="000000"/>
        </w:rPr>
        <w:t xml:space="preserve">. </w:t>
      </w:r>
      <w:r w:rsidR="00976823">
        <w:rPr>
          <w:rFonts w:ascii="Arial" w:hAnsi="Arial" w:cs="Arial"/>
          <w:color w:val="000000"/>
        </w:rPr>
        <w:t xml:space="preserve">Esto es así porque se ha advertido que los asuntos de los que conoce y que resuelve son </w:t>
      </w:r>
      <w:r w:rsidR="00FE198B">
        <w:rPr>
          <w:rFonts w:ascii="Arial" w:hAnsi="Arial" w:cs="Arial"/>
          <w:color w:val="000000"/>
        </w:rPr>
        <w:t xml:space="preserve">realmente </w:t>
      </w:r>
      <w:r w:rsidR="00976823">
        <w:rPr>
          <w:rFonts w:ascii="Arial" w:hAnsi="Arial" w:cs="Arial"/>
          <w:color w:val="000000"/>
        </w:rPr>
        <w:t xml:space="preserve">mínimos. </w:t>
      </w:r>
    </w:p>
    <w:p w:rsidR="00FE198B" w:rsidRDefault="00FE198B" w:rsidP="002F6B1B">
      <w:pPr>
        <w:spacing w:line="360" w:lineRule="auto"/>
        <w:rPr>
          <w:rFonts w:ascii="Arial" w:hAnsi="Arial" w:cs="Arial"/>
          <w:color w:val="000000"/>
        </w:rPr>
      </w:pPr>
    </w:p>
    <w:p w:rsidR="00AA1EEC" w:rsidRDefault="00976823" w:rsidP="002F6B1B">
      <w:pPr>
        <w:spacing w:line="360" w:lineRule="auto"/>
        <w:rPr>
          <w:rFonts w:ascii="Arial" w:hAnsi="Arial" w:cs="Arial"/>
          <w:color w:val="000000"/>
        </w:rPr>
      </w:pPr>
      <w:r>
        <w:rPr>
          <w:rFonts w:ascii="Arial" w:hAnsi="Arial" w:cs="Arial"/>
          <w:color w:val="000000"/>
        </w:rPr>
        <w:t xml:space="preserve">Además, el Poder Judicial del Estado cuenta con magistrados y magistradas especializadas en </w:t>
      </w:r>
      <w:r w:rsidR="00674E23">
        <w:rPr>
          <w:rFonts w:ascii="Arial" w:hAnsi="Arial" w:cs="Arial"/>
          <w:color w:val="000000"/>
        </w:rPr>
        <w:t>el sistema integral de ju</w:t>
      </w:r>
      <w:r w:rsidR="00606F66">
        <w:rPr>
          <w:rFonts w:ascii="Arial" w:hAnsi="Arial" w:cs="Arial"/>
          <w:color w:val="000000"/>
        </w:rPr>
        <w:t xml:space="preserve">sticia penal para adolescentes </w:t>
      </w:r>
      <w:r w:rsidR="00674E23">
        <w:rPr>
          <w:rFonts w:ascii="Arial" w:hAnsi="Arial" w:cs="Arial"/>
          <w:color w:val="000000"/>
        </w:rPr>
        <w:t xml:space="preserve">que pueden asumir la función que realiza actualmente </w:t>
      </w:r>
      <w:r w:rsidR="00AA1EEC">
        <w:rPr>
          <w:rFonts w:ascii="Arial" w:hAnsi="Arial" w:cs="Arial"/>
          <w:color w:val="000000"/>
        </w:rPr>
        <w:t>el tribunal.</w:t>
      </w:r>
      <w:r w:rsidR="00D56C62">
        <w:rPr>
          <w:rFonts w:ascii="Arial" w:hAnsi="Arial" w:cs="Arial"/>
          <w:color w:val="000000"/>
        </w:rPr>
        <w:t xml:space="preserve"> </w:t>
      </w:r>
      <w:r w:rsidR="00586D3F">
        <w:rPr>
          <w:rFonts w:ascii="Arial" w:hAnsi="Arial" w:cs="Arial"/>
          <w:color w:val="000000"/>
        </w:rPr>
        <w:t xml:space="preserve">En otras palabras, la justicia penal para adolescentes seguirá garantizándose </w:t>
      </w:r>
      <w:r w:rsidR="00C94C90">
        <w:rPr>
          <w:rFonts w:ascii="Arial" w:hAnsi="Arial" w:cs="Arial"/>
          <w:color w:val="000000"/>
        </w:rPr>
        <w:t>debidamente con efectividad, calidad y profesionalismo</w:t>
      </w:r>
      <w:r w:rsidR="003278E1">
        <w:rPr>
          <w:rFonts w:ascii="Arial" w:hAnsi="Arial" w:cs="Arial"/>
          <w:color w:val="000000"/>
        </w:rPr>
        <w:t>.</w:t>
      </w:r>
      <w:r w:rsidR="00C94C90">
        <w:rPr>
          <w:rFonts w:ascii="Arial" w:hAnsi="Arial" w:cs="Arial"/>
          <w:color w:val="000000"/>
        </w:rPr>
        <w:t xml:space="preserve"> </w:t>
      </w:r>
    </w:p>
    <w:p w:rsidR="00AA1EEC" w:rsidRDefault="00AA1EEC" w:rsidP="002F6B1B">
      <w:pPr>
        <w:spacing w:line="360" w:lineRule="auto"/>
        <w:rPr>
          <w:rFonts w:ascii="Arial" w:hAnsi="Arial" w:cs="Arial"/>
          <w:color w:val="000000"/>
        </w:rPr>
      </w:pPr>
    </w:p>
    <w:p w:rsidR="00224015" w:rsidRDefault="00BD625E" w:rsidP="00986EE1">
      <w:pPr>
        <w:spacing w:line="360" w:lineRule="auto"/>
        <w:rPr>
          <w:rFonts w:ascii="Arial" w:hAnsi="Arial" w:cs="Arial"/>
          <w:color w:val="000000"/>
        </w:rPr>
      </w:pPr>
      <w:r>
        <w:rPr>
          <w:rFonts w:ascii="Arial" w:hAnsi="Arial" w:cs="Arial"/>
          <w:color w:val="000000"/>
        </w:rPr>
        <w:t xml:space="preserve">De acuerdo con información estadística de la Secretaría Técnica y de Transparencia de la Presidencia del Tribunal Superior de Justicia del Estado, la carga laboral del Tribunal de Adolescentes ha venido en decremento en los últimos </w:t>
      </w:r>
      <w:r w:rsidR="00224015">
        <w:rPr>
          <w:rFonts w:ascii="Arial" w:hAnsi="Arial" w:cs="Arial"/>
          <w:color w:val="000000"/>
        </w:rPr>
        <w:t xml:space="preserve">años desde el 2016 como se puede mostrar en la siguiente tabla: </w:t>
      </w:r>
    </w:p>
    <w:tbl>
      <w:tblPr>
        <w:tblW w:w="7695" w:type="dxa"/>
        <w:tblInd w:w="15" w:type="dxa"/>
        <w:tblCellMar>
          <w:left w:w="70" w:type="dxa"/>
          <w:right w:w="70" w:type="dxa"/>
        </w:tblCellMar>
        <w:tblLook w:val="04A0" w:firstRow="1" w:lastRow="0" w:firstColumn="1" w:lastColumn="0" w:noHBand="0" w:noVBand="1"/>
      </w:tblPr>
      <w:tblGrid>
        <w:gridCol w:w="3709"/>
        <w:gridCol w:w="602"/>
        <w:gridCol w:w="603"/>
        <w:gridCol w:w="603"/>
        <w:gridCol w:w="603"/>
        <w:gridCol w:w="1575"/>
      </w:tblGrid>
      <w:tr w:rsidR="00767C14" w:rsidRPr="006122FA" w:rsidTr="00A547A7">
        <w:trPr>
          <w:trHeight w:val="324"/>
        </w:trPr>
        <w:tc>
          <w:tcPr>
            <w:tcW w:w="0" w:type="auto"/>
            <w:tcBorders>
              <w:top w:val="nil"/>
              <w:left w:val="nil"/>
              <w:bottom w:val="nil"/>
              <w:right w:val="nil"/>
            </w:tcBorders>
            <w:shd w:val="clear" w:color="auto" w:fill="auto"/>
            <w:noWrap/>
            <w:vAlign w:val="bottom"/>
            <w:hideMark/>
          </w:tcPr>
          <w:p w:rsidR="00224015" w:rsidRPr="006122FA" w:rsidRDefault="00224015" w:rsidP="00224015">
            <w:pPr>
              <w:widowControl/>
              <w:adjustRightInd/>
              <w:spacing w:line="240" w:lineRule="auto"/>
              <w:jc w:val="left"/>
              <w:textAlignment w:val="auto"/>
              <w:rPr>
                <w:rFonts w:ascii="Arial" w:hAnsi="Arial" w:cs="Arial"/>
                <w:sz w:val="19"/>
                <w:szCs w:val="19"/>
                <w:lang w:val="es-MX"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984806" w:themeFill="accent6" w:themeFillShade="80"/>
            <w:noWrap/>
            <w:vAlign w:val="center"/>
            <w:hideMark/>
          </w:tcPr>
          <w:p w:rsidR="00224015" w:rsidRPr="006122FA" w:rsidRDefault="00224015" w:rsidP="00224015">
            <w:pPr>
              <w:widowControl/>
              <w:adjustRightInd/>
              <w:spacing w:line="240" w:lineRule="auto"/>
              <w:jc w:val="center"/>
              <w:textAlignment w:val="auto"/>
              <w:rPr>
                <w:rFonts w:ascii="Arial" w:hAnsi="Arial" w:cs="Arial"/>
                <w:b/>
                <w:bCs/>
                <w:color w:val="FFFFFF" w:themeColor="background1"/>
                <w:sz w:val="19"/>
                <w:szCs w:val="19"/>
                <w:lang w:val="es-MX" w:eastAsia="es-MX"/>
              </w:rPr>
            </w:pPr>
            <w:r w:rsidRPr="006122FA">
              <w:rPr>
                <w:rFonts w:ascii="Arial" w:hAnsi="Arial" w:cs="Arial"/>
                <w:b/>
                <w:bCs/>
                <w:color w:val="FFFFFF" w:themeColor="background1"/>
                <w:sz w:val="19"/>
                <w:szCs w:val="19"/>
                <w:lang w:val="es-MX" w:eastAsia="es-MX"/>
              </w:rPr>
              <w:t>2016</w:t>
            </w:r>
          </w:p>
        </w:tc>
        <w:tc>
          <w:tcPr>
            <w:tcW w:w="0" w:type="auto"/>
            <w:tcBorders>
              <w:top w:val="single" w:sz="4" w:space="0" w:color="000000"/>
              <w:left w:val="nil"/>
              <w:bottom w:val="single" w:sz="4" w:space="0" w:color="000000"/>
              <w:right w:val="single" w:sz="4" w:space="0" w:color="000000"/>
            </w:tcBorders>
            <w:shd w:val="clear" w:color="auto" w:fill="984806" w:themeFill="accent6" w:themeFillShade="80"/>
            <w:noWrap/>
            <w:vAlign w:val="center"/>
            <w:hideMark/>
          </w:tcPr>
          <w:p w:rsidR="00224015" w:rsidRPr="006122FA" w:rsidRDefault="00224015" w:rsidP="00224015">
            <w:pPr>
              <w:widowControl/>
              <w:adjustRightInd/>
              <w:spacing w:line="240" w:lineRule="auto"/>
              <w:jc w:val="center"/>
              <w:textAlignment w:val="auto"/>
              <w:rPr>
                <w:rFonts w:ascii="Arial" w:hAnsi="Arial" w:cs="Arial"/>
                <w:b/>
                <w:bCs/>
                <w:color w:val="FFFFFF" w:themeColor="background1"/>
                <w:sz w:val="19"/>
                <w:szCs w:val="19"/>
                <w:lang w:val="es-MX" w:eastAsia="es-MX"/>
              </w:rPr>
            </w:pPr>
            <w:r w:rsidRPr="006122FA">
              <w:rPr>
                <w:rFonts w:ascii="Arial" w:hAnsi="Arial" w:cs="Arial"/>
                <w:b/>
                <w:bCs/>
                <w:color w:val="FFFFFF" w:themeColor="background1"/>
                <w:sz w:val="19"/>
                <w:szCs w:val="19"/>
                <w:lang w:val="es-MX" w:eastAsia="es-MX"/>
              </w:rPr>
              <w:t>2017</w:t>
            </w:r>
          </w:p>
        </w:tc>
        <w:tc>
          <w:tcPr>
            <w:tcW w:w="0" w:type="auto"/>
            <w:tcBorders>
              <w:top w:val="single" w:sz="4" w:space="0" w:color="000000"/>
              <w:left w:val="nil"/>
              <w:bottom w:val="single" w:sz="4" w:space="0" w:color="000000"/>
              <w:right w:val="single" w:sz="4" w:space="0" w:color="000000"/>
            </w:tcBorders>
            <w:shd w:val="clear" w:color="auto" w:fill="984806" w:themeFill="accent6" w:themeFillShade="80"/>
            <w:noWrap/>
            <w:vAlign w:val="center"/>
            <w:hideMark/>
          </w:tcPr>
          <w:p w:rsidR="00224015" w:rsidRPr="006122FA" w:rsidRDefault="00224015" w:rsidP="00224015">
            <w:pPr>
              <w:widowControl/>
              <w:adjustRightInd/>
              <w:spacing w:line="240" w:lineRule="auto"/>
              <w:jc w:val="center"/>
              <w:textAlignment w:val="auto"/>
              <w:rPr>
                <w:rFonts w:ascii="Arial" w:hAnsi="Arial" w:cs="Arial"/>
                <w:b/>
                <w:bCs/>
                <w:color w:val="FFFFFF" w:themeColor="background1"/>
                <w:sz w:val="19"/>
                <w:szCs w:val="19"/>
                <w:lang w:val="es-MX" w:eastAsia="es-MX"/>
              </w:rPr>
            </w:pPr>
            <w:r w:rsidRPr="006122FA">
              <w:rPr>
                <w:rFonts w:ascii="Arial" w:hAnsi="Arial" w:cs="Arial"/>
                <w:b/>
                <w:bCs/>
                <w:color w:val="FFFFFF" w:themeColor="background1"/>
                <w:sz w:val="19"/>
                <w:szCs w:val="19"/>
                <w:lang w:val="es-MX" w:eastAsia="es-MX"/>
              </w:rPr>
              <w:t>2018</w:t>
            </w:r>
          </w:p>
        </w:tc>
        <w:tc>
          <w:tcPr>
            <w:tcW w:w="0" w:type="auto"/>
            <w:tcBorders>
              <w:top w:val="single" w:sz="4" w:space="0" w:color="000000"/>
              <w:left w:val="nil"/>
              <w:bottom w:val="single" w:sz="4" w:space="0" w:color="000000"/>
              <w:right w:val="single" w:sz="4" w:space="0" w:color="000000"/>
            </w:tcBorders>
            <w:shd w:val="clear" w:color="auto" w:fill="984806" w:themeFill="accent6" w:themeFillShade="80"/>
            <w:noWrap/>
            <w:vAlign w:val="center"/>
            <w:hideMark/>
          </w:tcPr>
          <w:p w:rsidR="00224015" w:rsidRPr="006122FA" w:rsidRDefault="00224015" w:rsidP="00224015">
            <w:pPr>
              <w:widowControl/>
              <w:adjustRightInd/>
              <w:spacing w:line="240" w:lineRule="auto"/>
              <w:jc w:val="center"/>
              <w:textAlignment w:val="auto"/>
              <w:rPr>
                <w:rFonts w:ascii="Arial" w:hAnsi="Arial" w:cs="Arial"/>
                <w:b/>
                <w:bCs/>
                <w:color w:val="FFFFFF" w:themeColor="background1"/>
                <w:sz w:val="19"/>
                <w:szCs w:val="19"/>
                <w:lang w:val="es-MX" w:eastAsia="es-MX"/>
              </w:rPr>
            </w:pPr>
            <w:r w:rsidRPr="006122FA">
              <w:rPr>
                <w:rFonts w:ascii="Arial" w:hAnsi="Arial" w:cs="Arial"/>
                <w:b/>
                <w:bCs/>
                <w:color w:val="FFFFFF" w:themeColor="background1"/>
                <w:sz w:val="19"/>
                <w:szCs w:val="19"/>
                <w:lang w:val="es-MX" w:eastAsia="es-MX"/>
              </w:rPr>
              <w:t>2019</w:t>
            </w:r>
          </w:p>
        </w:tc>
        <w:tc>
          <w:tcPr>
            <w:tcW w:w="0" w:type="auto"/>
            <w:tcBorders>
              <w:top w:val="single" w:sz="4" w:space="0" w:color="000000"/>
              <w:left w:val="nil"/>
              <w:bottom w:val="single" w:sz="4" w:space="0" w:color="000000"/>
              <w:right w:val="single" w:sz="4" w:space="0" w:color="000000"/>
            </w:tcBorders>
            <w:shd w:val="clear" w:color="auto" w:fill="984806" w:themeFill="accent6" w:themeFillShade="80"/>
            <w:noWrap/>
            <w:vAlign w:val="center"/>
            <w:hideMark/>
          </w:tcPr>
          <w:p w:rsidR="00224015" w:rsidRPr="006122FA" w:rsidRDefault="00224015" w:rsidP="00224015">
            <w:pPr>
              <w:widowControl/>
              <w:adjustRightInd/>
              <w:spacing w:line="240" w:lineRule="auto"/>
              <w:jc w:val="center"/>
              <w:textAlignment w:val="auto"/>
              <w:rPr>
                <w:rFonts w:ascii="Arial" w:hAnsi="Arial" w:cs="Arial"/>
                <w:b/>
                <w:bCs/>
                <w:color w:val="FFFFFF" w:themeColor="background1"/>
                <w:sz w:val="19"/>
                <w:szCs w:val="19"/>
                <w:lang w:val="es-MX" w:eastAsia="es-MX"/>
              </w:rPr>
            </w:pPr>
            <w:r w:rsidRPr="006122FA">
              <w:rPr>
                <w:rFonts w:ascii="Arial" w:hAnsi="Arial" w:cs="Arial"/>
                <w:b/>
                <w:bCs/>
                <w:color w:val="FFFFFF" w:themeColor="background1"/>
                <w:sz w:val="19"/>
                <w:szCs w:val="19"/>
                <w:lang w:val="es-MX" w:eastAsia="es-MX"/>
              </w:rPr>
              <w:t>2020 (ene-nov)</w:t>
            </w:r>
          </w:p>
        </w:tc>
      </w:tr>
      <w:tr w:rsidR="00767C14" w:rsidRPr="006122FA" w:rsidTr="00767C14">
        <w:trPr>
          <w:trHeight w:val="339"/>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 xml:space="preserve">Asuntos en trámite al inicio del año </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w:t>
            </w:r>
          </w:p>
        </w:tc>
      </w:tr>
      <w:tr w:rsidR="00224015" w:rsidRPr="006122FA" w:rsidTr="00224015">
        <w:trPr>
          <w:trHeight w:val="33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Asuntos recibidos</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9</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8</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10</w:t>
            </w:r>
          </w:p>
        </w:tc>
      </w:tr>
      <w:tr w:rsidR="00767C14" w:rsidRPr="006122FA" w:rsidTr="00767C14">
        <w:trPr>
          <w:trHeight w:val="339"/>
        </w:trPr>
        <w:tc>
          <w:tcPr>
            <w:tcW w:w="0" w:type="auto"/>
            <w:tcBorders>
              <w:top w:val="nil"/>
              <w:left w:val="single" w:sz="4" w:space="0" w:color="000000"/>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Sentencias pronunciadas</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30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20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13</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7</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5</w:t>
            </w:r>
          </w:p>
        </w:tc>
      </w:tr>
      <w:tr w:rsidR="00224015" w:rsidRPr="006122FA" w:rsidTr="00224015">
        <w:trPr>
          <w:trHeight w:val="33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Concluidos por otras causas</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5</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5</w:t>
            </w:r>
          </w:p>
        </w:tc>
      </w:tr>
      <w:tr w:rsidR="00767C14" w:rsidRPr="006122FA" w:rsidTr="00767C14">
        <w:trPr>
          <w:trHeight w:val="339"/>
        </w:trPr>
        <w:tc>
          <w:tcPr>
            <w:tcW w:w="0" w:type="auto"/>
            <w:tcBorders>
              <w:top w:val="nil"/>
              <w:left w:val="single" w:sz="4" w:space="0" w:color="000000"/>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Asuntos concluidos</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35</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21</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13</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8</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10</w:t>
            </w:r>
          </w:p>
        </w:tc>
      </w:tr>
      <w:tr w:rsidR="00224015" w:rsidRPr="006122FA" w:rsidTr="00224015">
        <w:trPr>
          <w:trHeight w:val="33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Remitidos al archivo (Expedientillos)</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5</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r>
      <w:tr w:rsidR="00767C14" w:rsidRPr="006122FA" w:rsidTr="00767C14">
        <w:trPr>
          <w:trHeight w:val="339"/>
        </w:trPr>
        <w:tc>
          <w:tcPr>
            <w:tcW w:w="0" w:type="auto"/>
            <w:tcBorders>
              <w:top w:val="nil"/>
              <w:left w:val="single" w:sz="4" w:space="0" w:color="000000"/>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Asuntos que regresan a trámite</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r>
      <w:tr w:rsidR="00224015" w:rsidRPr="006122FA" w:rsidTr="00224015">
        <w:trPr>
          <w:trHeight w:val="33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Trámite procesal</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w:t>
            </w:r>
          </w:p>
        </w:tc>
      </w:tr>
      <w:tr w:rsidR="00767C14" w:rsidRPr="006122FA" w:rsidTr="00767C14">
        <w:trPr>
          <w:trHeight w:val="339"/>
        </w:trPr>
        <w:tc>
          <w:tcPr>
            <w:tcW w:w="0" w:type="auto"/>
            <w:tcBorders>
              <w:top w:val="nil"/>
              <w:left w:val="single" w:sz="4" w:space="0" w:color="000000"/>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Asuntos atendidos</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40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22</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13</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9</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11</w:t>
            </w:r>
          </w:p>
        </w:tc>
      </w:tr>
      <w:tr w:rsidR="00224015" w:rsidRPr="006122FA" w:rsidTr="00224015">
        <w:trPr>
          <w:trHeight w:val="33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Acuerdos pronunciados</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111</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89</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63</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15</w:t>
            </w:r>
          </w:p>
        </w:tc>
      </w:tr>
      <w:tr w:rsidR="00767C14" w:rsidRPr="006122FA" w:rsidTr="00767C14">
        <w:trPr>
          <w:trHeight w:val="339"/>
        </w:trPr>
        <w:tc>
          <w:tcPr>
            <w:tcW w:w="0" w:type="auto"/>
            <w:tcBorders>
              <w:top w:val="nil"/>
              <w:left w:val="single" w:sz="4" w:space="0" w:color="000000"/>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Diligencias actuariales</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251</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220</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96</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108</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102</w:t>
            </w:r>
          </w:p>
        </w:tc>
      </w:tr>
      <w:tr w:rsidR="00224015" w:rsidRPr="006122FA" w:rsidTr="00224015">
        <w:trPr>
          <w:trHeight w:val="33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left"/>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a) dentro</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59</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82</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77</w:t>
            </w:r>
          </w:p>
        </w:tc>
      </w:tr>
      <w:tr w:rsidR="00767C14" w:rsidRPr="006122FA" w:rsidTr="00767C14">
        <w:trPr>
          <w:trHeight w:val="339"/>
        </w:trPr>
        <w:tc>
          <w:tcPr>
            <w:tcW w:w="0" w:type="auto"/>
            <w:tcBorders>
              <w:top w:val="nil"/>
              <w:left w:val="single" w:sz="4" w:space="0" w:color="000000"/>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left"/>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b) fuera</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192</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138</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57</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61</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25</w:t>
            </w:r>
          </w:p>
        </w:tc>
      </w:tr>
      <w:tr w:rsidR="00224015" w:rsidRPr="006122FA" w:rsidTr="00224015">
        <w:trPr>
          <w:trHeight w:val="33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Sesiones de pleno</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c>
          <w:tcPr>
            <w:tcW w:w="0" w:type="auto"/>
            <w:tcBorders>
              <w:top w:val="nil"/>
              <w:left w:val="nil"/>
              <w:bottom w:val="single" w:sz="4" w:space="0" w:color="000000"/>
              <w:right w:val="single" w:sz="4" w:space="0" w:color="000000"/>
            </w:tcBorders>
            <w:shd w:val="clear" w:color="auto" w:fill="auto"/>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r>
      <w:tr w:rsidR="00767C14" w:rsidRPr="006122FA" w:rsidTr="00767C14">
        <w:trPr>
          <w:trHeight w:val="339"/>
        </w:trPr>
        <w:tc>
          <w:tcPr>
            <w:tcW w:w="0" w:type="auto"/>
            <w:tcBorders>
              <w:top w:val="nil"/>
              <w:left w:val="single" w:sz="4" w:space="0" w:color="000000"/>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left"/>
              <w:textAlignment w:val="auto"/>
              <w:rPr>
                <w:rFonts w:ascii="Arial" w:hAnsi="Arial" w:cs="Arial"/>
                <w:b/>
                <w:bCs/>
                <w:color w:val="000000"/>
                <w:sz w:val="19"/>
                <w:szCs w:val="19"/>
                <w:lang w:val="es-MX" w:eastAsia="es-MX"/>
              </w:rPr>
            </w:pPr>
            <w:r w:rsidRPr="006122FA">
              <w:rPr>
                <w:rFonts w:ascii="Arial" w:hAnsi="Arial" w:cs="Arial"/>
                <w:b/>
                <w:bCs/>
                <w:color w:val="000000"/>
                <w:sz w:val="19"/>
                <w:szCs w:val="19"/>
                <w:lang w:val="es-MX" w:eastAsia="es-MX"/>
              </w:rPr>
              <w:t>Audiencias celebradas</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21</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16</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4</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2</w:t>
            </w:r>
          </w:p>
        </w:tc>
        <w:tc>
          <w:tcPr>
            <w:tcW w:w="0" w:type="auto"/>
            <w:tcBorders>
              <w:top w:val="nil"/>
              <w:left w:val="nil"/>
              <w:bottom w:val="single" w:sz="4" w:space="0" w:color="000000"/>
              <w:right w:val="single" w:sz="4" w:space="0" w:color="000000"/>
            </w:tcBorders>
            <w:shd w:val="clear" w:color="auto" w:fill="FDE9D9" w:themeFill="accent6" w:themeFillTint="33"/>
            <w:noWrap/>
            <w:vAlign w:val="center"/>
            <w:hideMark/>
          </w:tcPr>
          <w:p w:rsidR="00224015" w:rsidRPr="006122FA" w:rsidRDefault="00224015" w:rsidP="00224015">
            <w:pPr>
              <w:widowControl/>
              <w:adjustRightInd/>
              <w:spacing w:line="240" w:lineRule="auto"/>
              <w:jc w:val="center"/>
              <w:textAlignment w:val="auto"/>
              <w:rPr>
                <w:rFonts w:ascii="Arial" w:hAnsi="Arial" w:cs="Arial"/>
                <w:color w:val="000000"/>
                <w:sz w:val="19"/>
                <w:szCs w:val="19"/>
                <w:lang w:val="es-MX" w:eastAsia="es-MX"/>
              </w:rPr>
            </w:pPr>
            <w:r w:rsidRPr="006122FA">
              <w:rPr>
                <w:rFonts w:ascii="Arial" w:hAnsi="Arial" w:cs="Arial"/>
                <w:color w:val="000000"/>
                <w:sz w:val="19"/>
                <w:szCs w:val="19"/>
                <w:lang w:val="es-MX" w:eastAsia="es-MX"/>
              </w:rPr>
              <w:t>0</w:t>
            </w:r>
          </w:p>
        </w:tc>
      </w:tr>
    </w:tbl>
    <w:p w:rsidR="004B1C51" w:rsidRDefault="004B1C51" w:rsidP="002F6B1B">
      <w:pPr>
        <w:spacing w:line="360" w:lineRule="auto"/>
        <w:rPr>
          <w:rFonts w:ascii="Arial" w:hAnsi="Arial" w:cs="Arial"/>
          <w:color w:val="000000"/>
        </w:rPr>
      </w:pPr>
    </w:p>
    <w:p w:rsidR="00157329" w:rsidRDefault="00E67B74" w:rsidP="002F6B1B">
      <w:pPr>
        <w:spacing w:line="360" w:lineRule="auto"/>
        <w:rPr>
          <w:rFonts w:ascii="Arial" w:hAnsi="Arial" w:cs="Arial"/>
          <w:color w:val="000000"/>
        </w:rPr>
      </w:pPr>
      <w:r>
        <w:rPr>
          <w:rFonts w:ascii="Arial" w:hAnsi="Arial" w:cs="Arial"/>
          <w:color w:val="000000"/>
        </w:rPr>
        <w:t xml:space="preserve">Como se observa, la carga de trabajo del Tribunal de Adolescentes pasó de 40 asuntos atendidos en el año 2016 a 11 asuntos de enero a noviembre de 2020. En el periodo de enero a noviembre de 2020, el Tribunal de Adolescentes recibió 75% menos asuntos que los recibidos en el año 2016. </w:t>
      </w:r>
      <w:r w:rsidR="00157329">
        <w:rPr>
          <w:rFonts w:ascii="Arial" w:hAnsi="Arial" w:cs="Arial"/>
          <w:color w:val="000000"/>
        </w:rPr>
        <w:t>Asimismo, durante el año 2020 el Tribunal de Adolescentes emitió solamente el 13.5% respecto a los acuerdo</w:t>
      </w:r>
      <w:r w:rsidR="009417A9">
        <w:rPr>
          <w:rFonts w:ascii="Arial" w:hAnsi="Arial" w:cs="Arial"/>
          <w:color w:val="000000"/>
        </w:rPr>
        <w:t xml:space="preserve">s pronunciados en el año 2016. </w:t>
      </w:r>
      <w:r w:rsidR="00157329">
        <w:rPr>
          <w:rFonts w:ascii="Arial" w:hAnsi="Arial" w:cs="Arial"/>
          <w:color w:val="000000"/>
        </w:rPr>
        <w:t>Sobre las causas ingresadas en el 2020, los Juzgados de Primera Instancia en Materia Penal del Sistema Acusatorio y Oral del Poder Judicial del Estado recibieron 159 causas en materia de adolescentes, mientras que el Tribunal de Adolescentes solo recibió 10 asuntos, es decir un 6.3%.</w:t>
      </w:r>
    </w:p>
    <w:p w:rsidR="00157329" w:rsidRDefault="00157329" w:rsidP="002F6B1B">
      <w:pPr>
        <w:spacing w:line="360" w:lineRule="auto"/>
        <w:rPr>
          <w:rFonts w:ascii="Arial" w:hAnsi="Arial" w:cs="Arial"/>
          <w:color w:val="000000"/>
        </w:rPr>
      </w:pPr>
    </w:p>
    <w:p w:rsidR="00157329" w:rsidRDefault="00C64838" w:rsidP="002F6B1B">
      <w:pPr>
        <w:spacing w:line="360" w:lineRule="auto"/>
        <w:rPr>
          <w:rFonts w:ascii="Arial" w:hAnsi="Arial" w:cs="Arial"/>
          <w:color w:val="000000"/>
        </w:rPr>
      </w:pPr>
      <w:r>
        <w:rPr>
          <w:rFonts w:ascii="Arial" w:hAnsi="Arial" w:cs="Arial"/>
          <w:color w:val="000000"/>
        </w:rPr>
        <w:t>En síntesis, de 2016 a lo que va del año 2020, el Tribunal de Adolescentes atendió 5.3% de la carga atendida en materia de adolescentes por los Juzgados de Primera Instancia en Materia Penal del Sistema Acusatorio y Oral.</w:t>
      </w:r>
    </w:p>
    <w:p w:rsidR="00767C14" w:rsidRDefault="00767C14" w:rsidP="002F6B1B">
      <w:pPr>
        <w:spacing w:line="360" w:lineRule="auto"/>
        <w:rPr>
          <w:rFonts w:ascii="Arial" w:hAnsi="Arial" w:cs="Arial"/>
          <w:color w:val="000000"/>
        </w:rPr>
      </w:pPr>
    </w:p>
    <w:p w:rsidR="00C639BC" w:rsidRDefault="00C64838" w:rsidP="002F6B1B">
      <w:pPr>
        <w:spacing w:line="360" w:lineRule="auto"/>
        <w:rPr>
          <w:rFonts w:ascii="Arial" w:hAnsi="Arial" w:cs="Arial"/>
          <w:color w:val="000000"/>
        </w:rPr>
      </w:pPr>
      <w:r>
        <w:rPr>
          <w:rFonts w:ascii="Arial" w:hAnsi="Arial" w:cs="Arial"/>
          <w:color w:val="000000"/>
        </w:rPr>
        <w:t>Por ende, la carga de trabajo</w:t>
      </w:r>
      <w:r w:rsidR="0082758D">
        <w:rPr>
          <w:rFonts w:ascii="Arial" w:hAnsi="Arial" w:cs="Arial"/>
          <w:color w:val="000000"/>
        </w:rPr>
        <w:t xml:space="preserve"> es mínima, </w:t>
      </w:r>
      <w:r w:rsidR="00A547A7">
        <w:rPr>
          <w:rFonts w:ascii="Arial" w:hAnsi="Arial" w:cs="Arial"/>
          <w:color w:val="000000"/>
        </w:rPr>
        <w:t>y no</w:t>
      </w:r>
      <w:r w:rsidR="0082758D">
        <w:rPr>
          <w:rFonts w:ascii="Arial" w:hAnsi="Arial" w:cs="Arial"/>
          <w:color w:val="000000"/>
        </w:rPr>
        <w:t xml:space="preserve"> se justifica razonablemente</w:t>
      </w:r>
      <w:r w:rsidR="00BB6D60">
        <w:rPr>
          <w:rFonts w:ascii="Arial" w:hAnsi="Arial" w:cs="Arial"/>
          <w:color w:val="000000"/>
        </w:rPr>
        <w:t xml:space="preserve"> seguir sosteniendo un aparato orgánico que realice la función de apelación en materia de adolescentes</w:t>
      </w:r>
      <w:r w:rsidR="007A3E46">
        <w:rPr>
          <w:rFonts w:ascii="Arial" w:hAnsi="Arial" w:cs="Arial"/>
          <w:color w:val="000000"/>
        </w:rPr>
        <w:t xml:space="preserve"> y que genere una erogación presupuestal considerable en recursos humanos y materiales</w:t>
      </w:r>
      <w:r w:rsidR="00BB6D60">
        <w:rPr>
          <w:rFonts w:ascii="Arial" w:hAnsi="Arial" w:cs="Arial"/>
          <w:color w:val="000000"/>
        </w:rPr>
        <w:t xml:space="preserve">, pues tal función la puede </w:t>
      </w:r>
      <w:r w:rsidR="007A3E46">
        <w:rPr>
          <w:rFonts w:ascii="Arial" w:hAnsi="Arial" w:cs="Arial"/>
          <w:color w:val="000000"/>
        </w:rPr>
        <w:t>asumir</w:t>
      </w:r>
      <w:r w:rsidR="00BB6D60">
        <w:rPr>
          <w:rFonts w:ascii="Arial" w:hAnsi="Arial" w:cs="Arial"/>
          <w:color w:val="000000"/>
        </w:rPr>
        <w:t xml:space="preserve"> otro tribunal de alzada del Poder Judicial del Estado de Coahuila de Zaragoza</w:t>
      </w:r>
      <w:r w:rsidR="00A547A7">
        <w:rPr>
          <w:rFonts w:ascii="Arial" w:hAnsi="Arial" w:cs="Arial"/>
          <w:color w:val="000000"/>
        </w:rPr>
        <w:t xml:space="preserve"> con juzgadoras y juzgadores especializados en esta asignatura</w:t>
      </w:r>
      <w:r w:rsidR="00BB6D60">
        <w:rPr>
          <w:rFonts w:ascii="Arial" w:hAnsi="Arial" w:cs="Arial"/>
          <w:color w:val="000000"/>
        </w:rPr>
        <w:t xml:space="preserve">. </w:t>
      </w:r>
    </w:p>
    <w:p w:rsidR="003278E1" w:rsidRDefault="003278E1" w:rsidP="002F6B1B">
      <w:pPr>
        <w:spacing w:line="360" w:lineRule="auto"/>
        <w:rPr>
          <w:rFonts w:ascii="Arial" w:hAnsi="Arial" w:cs="Arial"/>
          <w:color w:val="000000"/>
        </w:rPr>
      </w:pPr>
    </w:p>
    <w:p w:rsidR="00BB6D60" w:rsidRDefault="00BB6D60" w:rsidP="002F6B1B">
      <w:pPr>
        <w:spacing w:line="360" w:lineRule="auto"/>
        <w:rPr>
          <w:rFonts w:ascii="Arial" w:hAnsi="Arial" w:cs="Arial"/>
          <w:color w:val="000000"/>
        </w:rPr>
      </w:pPr>
      <w:r>
        <w:rPr>
          <w:rFonts w:ascii="Arial" w:hAnsi="Arial" w:cs="Arial"/>
          <w:color w:val="000000"/>
        </w:rPr>
        <w:t>Precisamente, el marco normativo nacional y jurisprudencial en la materia no obliga a los p</w:t>
      </w:r>
      <w:r w:rsidR="007A3E46">
        <w:rPr>
          <w:rFonts w:ascii="Arial" w:hAnsi="Arial" w:cs="Arial"/>
          <w:color w:val="000000"/>
        </w:rPr>
        <w:t xml:space="preserve">oderes judiciales establecer </w:t>
      </w:r>
      <w:r w:rsidR="009257E8">
        <w:rPr>
          <w:rFonts w:ascii="Arial" w:hAnsi="Arial" w:cs="Arial"/>
          <w:color w:val="000000"/>
        </w:rPr>
        <w:t>una estructura orgánica</w:t>
      </w:r>
      <w:r>
        <w:rPr>
          <w:rFonts w:ascii="Arial" w:hAnsi="Arial" w:cs="Arial"/>
          <w:color w:val="000000"/>
        </w:rPr>
        <w:t xml:space="preserve"> como tal para el sistema integral de justicia para adolescentes, pues lo que sí es indispensable es contar con juzgadoras y juzgadores especializados en este sistema y que estén en condiciones apropiadas para impartir justicia con calidad y eficiencia que garantice los derechos de las personas adolescentes. </w:t>
      </w:r>
    </w:p>
    <w:p w:rsidR="00A134F6" w:rsidRDefault="00A134F6" w:rsidP="002F6B1B">
      <w:pPr>
        <w:spacing w:line="360" w:lineRule="auto"/>
        <w:rPr>
          <w:rFonts w:ascii="Arial" w:hAnsi="Arial" w:cs="Arial"/>
          <w:color w:val="000000"/>
        </w:rPr>
      </w:pPr>
    </w:p>
    <w:p w:rsidR="00A134F6" w:rsidRDefault="00A134F6" w:rsidP="002F6B1B">
      <w:pPr>
        <w:spacing w:line="360" w:lineRule="auto"/>
        <w:rPr>
          <w:rFonts w:ascii="Arial" w:hAnsi="Arial" w:cs="Arial"/>
          <w:color w:val="000000"/>
        </w:rPr>
      </w:pPr>
      <w:r>
        <w:rPr>
          <w:rFonts w:ascii="Arial" w:hAnsi="Arial" w:cs="Arial"/>
          <w:color w:val="000000"/>
        </w:rPr>
        <w:t>En este sentido, el artículo 3, fracción XVII, de la Ley Nacional del Sistema Integral de Justicia para Adolescentes, define al órgano jurisdiccional que imparte just</w:t>
      </w:r>
      <w:r w:rsidR="002362B2">
        <w:rPr>
          <w:rFonts w:ascii="Arial" w:hAnsi="Arial" w:cs="Arial"/>
          <w:color w:val="000000"/>
        </w:rPr>
        <w:t>icia conforme a esta ley como «[E]</w:t>
      </w:r>
      <w:r>
        <w:rPr>
          <w:rFonts w:ascii="Arial" w:hAnsi="Arial" w:cs="Arial"/>
          <w:color w:val="000000"/>
        </w:rPr>
        <w:t>l Juez de Control, el Tribunal de Enjuiciamiento, el Juez de Ejecución y el Magistrado, especializados en el Sistema Integral de J</w:t>
      </w:r>
      <w:r w:rsidR="002362B2">
        <w:rPr>
          <w:rFonts w:ascii="Arial" w:hAnsi="Arial" w:cs="Arial"/>
          <w:color w:val="000000"/>
        </w:rPr>
        <w:t>usticia Penal para Adolescentes»</w:t>
      </w:r>
      <w:r>
        <w:rPr>
          <w:rFonts w:ascii="Arial" w:hAnsi="Arial" w:cs="Arial"/>
          <w:color w:val="000000"/>
        </w:rPr>
        <w:t xml:space="preserve">. </w:t>
      </w:r>
    </w:p>
    <w:p w:rsidR="00A134F6" w:rsidRDefault="00A134F6" w:rsidP="002F6B1B">
      <w:pPr>
        <w:spacing w:line="360" w:lineRule="auto"/>
        <w:rPr>
          <w:rFonts w:ascii="Arial" w:hAnsi="Arial" w:cs="Arial"/>
          <w:color w:val="000000"/>
        </w:rPr>
      </w:pPr>
    </w:p>
    <w:p w:rsidR="00A134F6" w:rsidRDefault="00A12158" w:rsidP="002F6B1B">
      <w:pPr>
        <w:spacing w:line="360" w:lineRule="auto"/>
        <w:rPr>
          <w:rFonts w:ascii="Arial" w:hAnsi="Arial" w:cs="Arial"/>
          <w:color w:val="000000"/>
        </w:rPr>
      </w:pPr>
      <w:r>
        <w:rPr>
          <w:rFonts w:ascii="Arial" w:hAnsi="Arial" w:cs="Arial"/>
          <w:color w:val="000000"/>
        </w:rPr>
        <w:t xml:space="preserve">Por su parte, el Tribunal Pleno de la Suprema Corte de Justicia de la Nación, en la tesis de jurisprudencia 63/2008, sostuvo que </w:t>
      </w:r>
      <w:r w:rsidR="007309EA">
        <w:rPr>
          <w:rFonts w:ascii="Arial" w:hAnsi="Arial" w:cs="Arial"/>
          <w:color w:val="000000"/>
        </w:rPr>
        <w:t xml:space="preserve">la reforma al artículo 18 de la Constitución General </w:t>
      </w:r>
      <w:r w:rsidR="0016461A">
        <w:rPr>
          <w:rFonts w:ascii="Arial" w:hAnsi="Arial" w:cs="Arial"/>
          <w:color w:val="000000"/>
        </w:rPr>
        <w:t xml:space="preserve">del año 2005 tuvo por objeto </w:t>
      </w:r>
      <w:r w:rsidR="0071418F">
        <w:rPr>
          <w:rFonts w:ascii="Arial" w:hAnsi="Arial" w:cs="Arial"/>
          <w:color w:val="000000"/>
        </w:rPr>
        <w:t>«</w:t>
      </w:r>
      <w:r w:rsidR="00C85E07">
        <w:rPr>
          <w:rFonts w:ascii="Arial" w:hAnsi="Arial" w:cs="Arial"/>
          <w:color w:val="000000"/>
        </w:rPr>
        <w:t>[</w:t>
      </w:r>
      <w:r w:rsidR="0016461A">
        <w:rPr>
          <w:rFonts w:ascii="Arial" w:hAnsi="Arial" w:cs="Arial"/>
          <w:color w:val="000000"/>
        </w:rPr>
        <w:t>a</w:t>
      </w:r>
      <w:r w:rsidR="00C85E07">
        <w:rPr>
          <w:rFonts w:ascii="Arial" w:hAnsi="Arial" w:cs="Arial"/>
          <w:color w:val="000000"/>
        </w:rPr>
        <w:t>]</w:t>
      </w:r>
      <w:r w:rsidR="0016461A">
        <w:rPr>
          <w:rFonts w:ascii="Arial" w:hAnsi="Arial" w:cs="Arial"/>
          <w:color w:val="000000"/>
        </w:rPr>
        <w:t>decuar la justicia para adolescentes a la doctrina de la protecci</w:t>
      </w:r>
      <w:r w:rsidR="000A796B">
        <w:rPr>
          <w:rFonts w:ascii="Arial" w:hAnsi="Arial" w:cs="Arial"/>
          <w:color w:val="000000"/>
        </w:rPr>
        <w:t>ón integral de la infancia, ya que los instrumentos internacionales en que ésta se recoge ponen énfasis en la especialización de los funcionarios como una cuestión necesaria para el cumplimiento de los propósitos perseguidos e, incluso, insisten en que no es su propósito obligar a los Estados a adoptar cierta forma de organización</w:t>
      </w:r>
      <w:r w:rsidR="0071418F">
        <w:rPr>
          <w:rFonts w:ascii="Arial" w:hAnsi="Arial" w:cs="Arial"/>
          <w:color w:val="000000"/>
        </w:rPr>
        <w:t>»</w:t>
      </w:r>
      <w:r w:rsidR="00C85E07">
        <w:rPr>
          <w:rStyle w:val="Refdenotaalpie"/>
          <w:rFonts w:ascii="Arial" w:hAnsi="Arial" w:cs="Arial"/>
          <w:color w:val="000000"/>
        </w:rPr>
        <w:footnoteReference w:id="2"/>
      </w:r>
      <w:r w:rsidR="000A796B">
        <w:rPr>
          <w:rFonts w:ascii="Arial" w:hAnsi="Arial" w:cs="Arial"/>
          <w:color w:val="000000"/>
        </w:rPr>
        <w:t xml:space="preserve">. </w:t>
      </w:r>
    </w:p>
    <w:p w:rsidR="002D7EBA" w:rsidRDefault="002D7EBA" w:rsidP="002F6B1B">
      <w:pPr>
        <w:spacing w:line="360" w:lineRule="auto"/>
        <w:rPr>
          <w:rFonts w:ascii="Arial" w:hAnsi="Arial" w:cs="Arial"/>
          <w:color w:val="000000"/>
        </w:rPr>
      </w:pPr>
    </w:p>
    <w:p w:rsidR="002D7EBA" w:rsidRDefault="002D7EBA" w:rsidP="002F6B1B">
      <w:pPr>
        <w:spacing w:line="360" w:lineRule="auto"/>
        <w:rPr>
          <w:rFonts w:ascii="Arial" w:hAnsi="Arial" w:cs="Arial"/>
          <w:color w:val="000000"/>
        </w:rPr>
      </w:pPr>
      <w:r>
        <w:rPr>
          <w:rFonts w:ascii="Arial" w:hAnsi="Arial" w:cs="Arial"/>
          <w:color w:val="000000"/>
        </w:rPr>
        <w:t>La C</w:t>
      </w:r>
      <w:r w:rsidR="005D0F4D">
        <w:rPr>
          <w:rFonts w:ascii="Arial" w:hAnsi="Arial" w:cs="Arial"/>
          <w:color w:val="000000"/>
        </w:rPr>
        <w:t xml:space="preserve">orte determinó que con </w:t>
      </w:r>
      <w:r w:rsidR="0071418F">
        <w:rPr>
          <w:rFonts w:ascii="Arial" w:hAnsi="Arial" w:cs="Arial"/>
          <w:color w:val="000000"/>
        </w:rPr>
        <w:t>«</w:t>
      </w:r>
      <w:r w:rsidR="005D0F4D">
        <w:rPr>
          <w:rFonts w:ascii="Arial" w:hAnsi="Arial" w:cs="Arial"/>
          <w:color w:val="000000"/>
        </w:rPr>
        <w:t>[l]a acepción del término “especialización” que hace posible dar mayor congruencia a la reforma con los instrumentos internacionales referidos y que, por ende, permite en mayor grado la consecución de los fines perseguido por aqu</w:t>
      </w:r>
      <w:r w:rsidR="00FE4D78">
        <w:rPr>
          <w:rFonts w:ascii="Arial" w:hAnsi="Arial" w:cs="Arial"/>
          <w:color w:val="000000"/>
        </w:rPr>
        <w:t>élla, es la que la considera como una cualidad inherente y exigible en los funcionarios pertenecientes al sistema integral de justicia para adolescentes</w:t>
      </w:r>
      <w:r w:rsidR="003D58A0">
        <w:rPr>
          <w:rFonts w:ascii="Arial" w:hAnsi="Arial" w:cs="Arial"/>
          <w:color w:val="000000"/>
        </w:rPr>
        <w:t>»</w:t>
      </w:r>
      <w:r w:rsidR="00FE4D78">
        <w:rPr>
          <w:rStyle w:val="Refdenotaalpie"/>
          <w:rFonts w:ascii="Arial" w:hAnsi="Arial" w:cs="Arial"/>
          <w:color w:val="000000"/>
        </w:rPr>
        <w:footnoteReference w:id="3"/>
      </w:r>
      <w:r w:rsidR="00FE4D78">
        <w:rPr>
          <w:rFonts w:ascii="Arial" w:hAnsi="Arial" w:cs="Arial"/>
          <w:color w:val="000000"/>
        </w:rPr>
        <w:t xml:space="preserve">. </w:t>
      </w:r>
    </w:p>
    <w:p w:rsidR="009257E8" w:rsidRDefault="009257E8" w:rsidP="002F6B1B">
      <w:pPr>
        <w:spacing w:line="360" w:lineRule="auto"/>
        <w:rPr>
          <w:rFonts w:ascii="Arial" w:hAnsi="Arial" w:cs="Arial"/>
          <w:color w:val="000000"/>
        </w:rPr>
      </w:pPr>
    </w:p>
    <w:p w:rsidR="00A7014A" w:rsidRDefault="009257E8" w:rsidP="002F6B1B">
      <w:pPr>
        <w:spacing w:line="360" w:lineRule="auto"/>
        <w:rPr>
          <w:rFonts w:ascii="Arial" w:hAnsi="Arial" w:cs="Arial"/>
          <w:color w:val="000000"/>
        </w:rPr>
      </w:pPr>
      <w:r>
        <w:rPr>
          <w:rFonts w:ascii="Arial" w:hAnsi="Arial" w:cs="Arial"/>
          <w:color w:val="000000"/>
        </w:rPr>
        <w:t xml:space="preserve">Por lo tanto, con el propósito de continuar cumpliendo con este marco normativo y con la doctrina jurisprudencial de la Suprema Corte de Justicia de la Nación sobre el sistema integral de justicia penal para adolescentes, </w:t>
      </w:r>
      <w:r w:rsidR="00007D91">
        <w:rPr>
          <w:rFonts w:ascii="Arial" w:hAnsi="Arial" w:cs="Arial"/>
          <w:color w:val="000000"/>
        </w:rPr>
        <w:t xml:space="preserve">este Consejo de la Judicatura estima conducente </w:t>
      </w:r>
      <w:r w:rsidR="00A7014A">
        <w:rPr>
          <w:rFonts w:ascii="Arial" w:hAnsi="Arial" w:cs="Arial"/>
          <w:color w:val="000000"/>
        </w:rPr>
        <w:t>realizar</w:t>
      </w:r>
      <w:r w:rsidR="00C161F9">
        <w:rPr>
          <w:rFonts w:ascii="Arial" w:hAnsi="Arial" w:cs="Arial"/>
          <w:color w:val="000000"/>
        </w:rPr>
        <w:t>,</w:t>
      </w:r>
      <w:r w:rsidR="00A7014A">
        <w:rPr>
          <w:rFonts w:ascii="Arial" w:hAnsi="Arial" w:cs="Arial"/>
          <w:color w:val="000000"/>
        </w:rPr>
        <w:t xml:space="preserve"> de una manera respetuosa </w:t>
      </w:r>
      <w:r w:rsidR="00C161F9">
        <w:rPr>
          <w:rFonts w:ascii="Arial" w:hAnsi="Arial" w:cs="Arial"/>
          <w:color w:val="000000"/>
        </w:rPr>
        <w:t>dentro de la</w:t>
      </w:r>
      <w:r w:rsidR="00A7014A">
        <w:rPr>
          <w:rFonts w:ascii="Arial" w:hAnsi="Arial" w:cs="Arial"/>
          <w:color w:val="000000"/>
        </w:rPr>
        <w:t xml:space="preserve"> colaboración armónica </w:t>
      </w:r>
      <w:r w:rsidR="00C161F9">
        <w:rPr>
          <w:rFonts w:ascii="Arial" w:hAnsi="Arial" w:cs="Arial"/>
          <w:color w:val="000000"/>
        </w:rPr>
        <w:t>entre órganos de gobierno judic</w:t>
      </w:r>
      <w:r w:rsidR="003C2A08">
        <w:rPr>
          <w:rFonts w:ascii="Arial" w:hAnsi="Arial" w:cs="Arial"/>
          <w:color w:val="000000"/>
        </w:rPr>
        <w:t>ial, una propuesta al Honorable Pleno del Tribunal Superior de Justicia del Estado de Coahuila de Zaragoza</w:t>
      </w:r>
      <w:r w:rsidR="001E4DCD">
        <w:rPr>
          <w:rFonts w:ascii="Arial" w:hAnsi="Arial" w:cs="Arial"/>
          <w:color w:val="000000"/>
        </w:rPr>
        <w:t xml:space="preserve"> consistente en que</w:t>
      </w:r>
      <w:r w:rsidR="00A730DB">
        <w:rPr>
          <w:rFonts w:ascii="Arial" w:hAnsi="Arial" w:cs="Arial"/>
          <w:color w:val="000000"/>
        </w:rPr>
        <w:t>, si lo considera oportuno, otorgue competencia a la Sala Colegiada en Materia Penal del Tribunal Superior de Justicia del Estado</w:t>
      </w:r>
      <w:r w:rsidR="001F56FA">
        <w:rPr>
          <w:rFonts w:ascii="Arial" w:hAnsi="Arial" w:cs="Arial"/>
          <w:color w:val="000000"/>
        </w:rPr>
        <w:t xml:space="preserve"> para conocer y resolver de los asuntos sobre los cuales tiene competencia el Tribunal de A</w:t>
      </w:r>
      <w:r w:rsidR="00177269">
        <w:rPr>
          <w:rFonts w:ascii="Arial" w:hAnsi="Arial" w:cs="Arial"/>
          <w:color w:val="000000"/>
        </w:rPr>
        <w:t>dolescentes.</w:t>
      </w:r>
    </w:p>
    <w:p w:rsidR="002A3E0C" w:rsidRDefault="002A3E0C" w:rsidP="002F6B1B">
      <w:pPr>
        <w:spacing w:line="360" w:lineRule="auto"/>
        <w:rPr>
          <w:rFonts w:ascii="Arial" w:hAnsi="Arial" w:cs="Arial"/>
          <w:color w:val="000000"/>
        </w:rPr>
      </w:pPr>
    </w:p>
    <w:p w:rsidR="006D3923" w:rsidRDefault="006D3923" w:rsidP="002F6B1B">
      <w:pPr>
        <w:spacing w:line="360" w:lineRule="auto"/>
        <w:rPr>
          <w:rFonts w:ascii="Arial" w:hAnsi="Arial" w:cs="Arial"/>
          <w:color w:val="000000"/>
        </w:rPr>
      </w:pPr>
      <w:r>
        <w:rPr>
          <w:rFonts w:ascii="Arial" w:hAnsi="Arial" w:cs="Arial"/>
          <w:color w:val="000000"/>
        </w:rPr>
        <w:t xml:space="preserve">Esto es factible tomando en cuenta que la Sala Colegiada en Materia Penal cuenta con </w:t>
      </w:r>
      <w:r w:rsidR="001E4DCD">
        <w:rPr>
          <w:rFonts w:ascii="Arial" w:hAnsi="Arial" w:cs="Arial"/>
          <w:color w:val="000000"/>
        </w:rPr>
        <w:t xml:space="preserve">personal judicial </w:t>
      </w:r>
      <w:r w:rsidR="00601562">
        <w:rPr>
          <w:rFonts w:ascii="Arial" w:hAnsi="Arial" w:cs="Arial"/>
          <w:color w:val="000000"/>
        </w:rPr>
        <w:t>especializado</w:t>
      </w:r>
      <w:r w:rsidR="001E4DCD">
        <w:rPr>
          <w:rFonts w:ascii="Arial" w:hAnsi="Arial" w:cs="Arial"/>
          <w:color w:val="000000"/>
        </w:rPr>
        <w:t xml:space="preserve"> en esta importante asignatura</w:t>
      </w:r>
      <w:r w:rsidR="00177269">
        <w:rPr>
          <w:rFonts w:ascii="Arial" w:hAnsi="Arial" w:cs="Arial"/>
          <w:color w:val="000000"/>
        </w:rPr>
        <w:t xml:space="preserve">, así como con la experiencia y los conocimientos necesarios para garantizar a las y los justiciables el acceso a la justicia de calidad y eficiente </w:t>
      </w:r>
      <w:r w:rsidR="00601562">
        <w:rPr>
          <w:rFonts w:ascii="Arial" w:hAnsi="Arial" w:cs="Arial"/>
          <w:color w:val="000000"/>
        </w:rPr>
        <w:t>en cumplimiento a los más altos estándares nacionales e internacionales</w:t>
      </w:r>
      <w:r w:rsidR="001E4DCD">
        <w:rPr>
          <w:rFonts w:ascii="Arial" w:hAnsi="Arial" w:cs="Arial"/>
          <w:color w:val="000000"/>
        </w:rPr>
        <w:t xml:space="preserve">. </w:t>
      </w:r>
      <w:r w:rsidR="0013548F">
        <w:rPr>
          <w:rFonts w:ascii="Arial" w:hAnsi="Arial" w:cs="Arial"/>
          <w:color w:val="000000"/>
        </w:rPr>
        <w:t xml:space="preserve">En consecuencia, de ser aprobada la propuesta, el Tribunal de Adolescentes enviará a la Sala Colegiada Penal del Tribunal Superior de Justicia los asuntos en trámite, independientemente de su trámite procesal, para su resolución y conclusión. </w:t>
      </w:r>
    </w:p>
    <w:p w:rsidR="006609C1" w:rsidRDefault="006609C1" w:rsidP="002F6B1B">
      <w:pPr>
        <w:spacing w:line="360" w:lineRule="auto"/>
        <w:rPr>
          <w:rFonts w:ascii="Arial" w:hAnsi="Arial" w:cs="Arial"/>
          <w:color w:val="000000"/>
        </w:rPr>
      </w:pPr>
    </w:p>
    <w:p w:rsidR="006609C1" w:rsidRDefault="006609C1" w:rsidP="002F6B1B">
      <w:pPr>
        <w:spacing w:line="360" w:lineRule="auto"/>
        <w:rPr>
          <w:rFonts w:ascii="Arial" w:hAnsi="Arial" w:cs="Arial"/>
          <w:color w:val="000000"/>
        </w:rPr>
      </w:pPr>
      <w:r w:rsidRPr="00165A95">
        <w:rPr>
          <w:rFonts w:ascii="Arial" w:hAnsi="Arial" w:cs="Arial"/>
          <w:b/>
          <w:color w:val="000000"/>
        </w:rPr>
        <w:t>Quinto.</w:t>
      </w:r>
      <w:r>
        <w:rPr>
          <w:rFonts w:ascii="Arial" w:hAnsi="Arial" w:cs="Arial"/>
          <w:color w:val="000000"/>
        </w:rPr>
        <w:t xml:space="preserve"> </w:t>
      </w:r>
      <w:r w:rsidR="00165A95">
        <w:rPr>
          <w:rFonts w:ascii="Arial" w:hAnsi="Arial" w:cs="Arial"/>
          <w:color w:val="000000"/>
        </w:rPr>
        <w:t xml:space="preserve">Bajo estas consideraciones, el Consejo de la Judicatura del Estado estima que el Tribunal de </w:t>
      </w:r>
      <w:r w:rsidR="008A2763">
        <w:rPr>
          <w:rFonts w:ascii="Arial" w:hAnsi="Arial" w:cs="Arial"/>
          <w:color w:val="000000"/>
        </w:rPr>
        <w:t>Apelación Especializado en Materia de Adolescentes</w:t>
      </w:r>
      <w:r w:rsidR="00165A95">
        <w:rPr>
          <w:rFonts w:ascii="Arial" w:hAnsi="Arial" w:cs="Arial"/>
          <w:color w:val="000000"/>
        </w:rPr>
        <w:t xml:space="preserve"> deberá suprimirse </w:t>
      </w:r>
      <w:r w:rsidR="008A2763">
        <w:rPr>
          <w:rFonts w:ascii="Arial" w:hAnsi="Arial" w:cs="Arial"/>
          <w:color w:val="000000"/>
        </w:rPr>
        <w:t xml:space="preserve">a partir del </w:t>
      </w:r>
      <w:r w:rsidR="003F2C86">
        <w:rPr>
          <w:rFonts w:ascii="Arial" w:hAnsi="Arial" w:cs="Arial"/>
          <w:color w:val="000000"/>
        </w:rPr>
        <w:t>31 de diciembre</w:t>
      </w:r>
      <w:r w:rsidR="008A2763">
        <w:rPr>
          <w:rFonts w:ascii="Arial" w:hAnsi="Arial" w:cs="Arial"/>
          <w:color w:val="000000"/>
        </w:rPr>
        <w:t xml:space="preserve"> de 202</w:t>
      </w:r>
      <w:r w:rsidR="00B80158">
        <w:rPr>
          <w:rFonts w:ascii="Arial" w:hAnsi="Arial" w:cs="Arial"/>
          <w:color w:val="000000"/>
        </w:rPr>
        <w:t>0</w:t>
      </w:r>
      <w:r w:rsidR="008A2763">
        <w:rPr>
          <w:rFonts w:ascii="Arial" w:hAnsi="Arial" w:cs="Arial"/>
          <w:color w:val="000000"/>
        </w:rPr>
        <w:t xml:space="preserve">. </w:t>
      </w:r>
    </w:p>
    <w:p w:rsidR="00AC6011" w:rsidRDefault="00AC6011" w:rsidP="002F6B1B">
      <w:pPr>
        <w:spacing w:line="360" w:lineRule="auto"/>
        <w:rPr>
          <w:rFonts w:ascii="Arial" w:hAnsi="Arial" w:cs="Arial"/>
          <w:color w:val="000000"/>
        </w:rPr>
      </w:pPr>
    </w:p>
    <w:p w:rsidR="00AC6011" w:rsidRDefault="00AC6011" w:rsidP="002F6B1B">
      <w:pPr>
        <w:spacing w:line="360" w:lineRule="auto"/>
        <w:rPr>
          <w:rFonts w:ascii="Arial" w:hAnsi="Arial" w:cs="Arial"/>
          <w:color w:val="000000"/>
        </w:rPr>
      </w:pPr>
      <w:r>
        <w:rPr>
          <w:rFonts w:ascii="Arial" w:hAnsi="Arial" w:cs="Arial"/>
          <w:color w:val="000000"/>
        </w:rPr>
        <w:t>Este tribunal deberá enviar</w:t>
      </w:r>
      <w:r w:rsidR="00BB5F55">
        <w:rPr>
          <w:rFonts w:ascii="Arial" w:hAnsi="Arial" w:cs="Arial"/>
          <w:color w:val="000000"/>
        </w:rPr>
        <w:t>, en su caso,</w:t>
      </w:r>
      <w:r>
        <w:rPr>
          <w:rFonts w:ascii="Arial" w:hAnsi="Arial" w:cs="Arial"/>
          <w:color w:val="000000"/>
        </w:rPr>
        <w:t xml:space="preserve"> los asuntos que se encuentren en trámite, independientemente de su estado procesal, </w:t>
      </w:r>
      <w:r w:rsidR="00BB5F55">
        <w:rPr>
          <w:rFonts w:ascii="Arial" w:hAnsi="Arial" w:cs="Arial"/>
          <w:color w:val="000000"/>
        </w:rPr>
        <w:t xml:space="preserve">a la Sala Colegiada Penal o al órgano jurisdiccional </w:t>
      </w:r>
      <w:r>
        <w:rPr>
          <w:rFonts w:ascii="Arial" w:hAnsi="Arial" w:cs="Arial"/>
          <w:color w:val="000000"/>
        </w:rPr>
        <w:t>que determine el Pleno del Tribunal Superior de Justicia del Estado de Coahuila de Z</w:t>
      </w:r>
      <w:r w:rsidR="00AA264E">
        <w:rPr>
          <w:rFonts w:ascii="Arial" w:hAnsi="Arial" w:cs="Arial"/>
          <w:color w:val="000000"/>
        </w:rPr>
        <w:t>aragoza. El</w:t>
      </w:r>
      <w:r w:rsidR="00CE1449">
        <w:rPr>
          <w:rFonts w:ascii="Arial" w:hAnsi="Arial" w:cs="Arial"/>
          <w:color w:val="000000"/>
        </w:rPr>
        <w:t xml:space="preserve"> órga</w:t>
      </w:r>
      <w:r w:rsidR="00AA264E">
        <w:rPr>
          <w:rFonts w:ascii="Arial" w:hAnsi="Arial" w:cs="Arial"/>
          <w:color w:val="000000"/>
        </w:rPr>
        <w:t xml:space="preserve">no jurisdiccional que se </w:t>
      </w:r>
      <w:r w:rsidR="002F0578">
        <w:rPr>
          <w:rFonts w:ascii="Arial" w:hAnsi="Arial" w:cs="Arial"/>
          <w:color w:val="000000"/>
        </w:rPr>
        <w:t>defina</w:t>
      </w:r>
      <w:r w:rsidR="00AA264E">
        <w:rPr>
          <w:rFonts w:ascii="Arial" w:hAnsi="Arial" w:cs="Arial"/>
          <w:color w:val="000000"/>
        </w:rPr>
        <w:t xml:space="preserve"> deberá</w:t>
      </w:r>
      <w:r w:rsidR="00CE1449">
        <w:rPr>
          <w:rFonts w:ascii="Arial" w:hAnsi="Arial" w:cs="Arial"/>
          <w:color w:val="000000"/>
        </w:rPr>
        <w:t xml:space="preserve"> recibir tales asuntos en los términos y condiciones que </w:t>
      </w:r>
      <w:r w:rsidR="00E81235">
        <w:rPr>
          <w:rFonts w:ascii="Arial" w:hAnsi="Arial" w:cs="Arial"/>
          <w:color w:val="000000"/>
        </w:rPr>
        <w:t>defina</w:t>
      </w:r>
      <w:r w:rsidR="00CE1449">
        <w:rPr>
          <w:rFonts w:ascii="Arial" w:hAnsi="Arial" w:cs="Arial"/>
          <w:color w:val="000000"/>
        </w:rPr>
        <w:t xml:space="preserve"> el Pleno de Tribunal Superior de Justicia del </w:t>
      </w:r>
      <w:r w:rsidR="00CE1449">
        <w:rPr>
          <w:rFonts w:ascii="Arial" w:hAnsi="Arial" w:cs="Arial"/>
          <w:color w:val="000000"/>
        </w:rPr>
        <w:lastRenderedPageBreak/>
        <w:t xml:space="preserve">Estado. </w:t>
      </w:r>
    </w:p>
    <w:p w:rsidR="00CE1449" w:rsidRDefault="00CE1449" w:rsidP="002F6B1B">
      <w:pPr>
        <w:spacing w:line="360" w:lineRule="auto"/>
        <w:rPr>
          <w:rFonts w:ascii="Arial" w:hAnsi="Arial" w:cs="Arial"/>
          <w:color w:val="000000"/>
        </w:rPr>
      </w:pPr>
    </w:p>
    <w:p w:rsidR="00CE1449" w:rsidRDefault="00CE1449" w:rsidP="002F6B1B">
      <w:pPr>
        <w:spacing w:line="360" w:lineRule="auto"/>
        <w:rPr>
          <w:rFonts w:ascii="Arial" w:hAnsi="Arial" w:cs="Arial"/>
          <w:color w:val="000000"/>
        </w:rPr>
      </w:pPr>
      <w:r w:rsidRPr="00CE1449">
        <w:rPr>
          <w:rFonts w:ascii="Arial" w:hAnsi="Arial" w:cs="Arial"/>
          <w:b/>
          <w:color w:val="000000"/>
        </w:rPr>
        <w:t>Sexto.</w:t>
      </w:r>
      <w:r>
        <w:rPr>
          <w:rFonts w:ascii="Arial" w:hAnsi="Arial" w:cs="Arial"/>
          <w:color w:val="000000"/>
        </w:rPr>
        <w:t xml:space="preserve"> </w:t>
      </w:r>
      <w:r w:rsidR="00E96948">
        <w:rPr>
          <w:rFonts w:ascii="Arial" w:hAnsi="Arial" w:cs="Arial"/>
          <w:color w:val="000000"/>
        </w:rPr>
        <w:t>Respecto al personal adscrito al tribunal especializado que se suprime, el Consejo de la Judicatura determinará lo conducen</w:t>
      </w:r>
      <w:r w:rsidR="00410841">
        <w:rPr>
          <w:rFonts w:ascii="Arial" w:hAnsi="Arial" w:cs="Arial"/>
          <w:color w:val="000000"/>
        </w:rPr>
        <w:t xml:space="preserve">te, para lo cual tomará en cuenta la carrera judicial en los casos que así proceda, la experiencia y la capacidad, así como las disposiciones legales aplicables. </w:t>
      </w:r>
    </w:p>
    <w:p w:rsidR="00410841" w:rsidRDefault="00410841" w:rsidP="002F6B1B">
      <w:pPr>
        <w:spacing w:line="360" w:lineRule="auto"/>
        <w:rPr>
          <w:rFonts w:ascii="Arial" w:hAnsi="Arial" w:cs="Arial"/>
          <w:color w:val="000000"/>
        </w:rPr>
      </w:pPr>
    </w:p>
    <w:p w:rsidR="0069720D" w:rsidRDefault="00367F74" w:rsidP="009417A9">
      <w:pPr>
        <w:spacing w:line="360" w:lineRule="auto"/>
        <w:rPr>
          <w:rFonts w:ascii="Arial" w:hAnsi="Arial" w:cs="Arial"/>
          <w:color w:val="000000"/>
        </w:rPr>
      </w:pPr>
      <w:r>
        <w:rPr>
          <w:rFonts w:ascii="Arial" w:hAnsi="Arial" w:cs="Arial"/>
          <w:color w:val="000000"/>
        </w:rPr>
        <w:t xml:space="preserve">Por lo antes expuesto, con fundamento en lo dispuesto por los artículos 143 de la Constitución Política del Estado de Coahuila de Zaragoza, y 57, fracciones </w:t>
      </w:r>
      <w:r w:rsidR="003750C7">
        <w:rPr>
          <w:rFonts w:ascii="Arial" w:hAnsi="Arial" w:cs="Arial"/>
          <w:color w:val="000000"/>
        </w:rPr>
        <w:t>III, VIII y XVII,</w:t>
      </w:r>
      <w:r>
        <w:rPr>
          <w:rFonts w:ascii="Arial" w:hAnsi="Arial" w:cs="Arial"/>
          <w:color w:val="000000"/>
        </w:rPr>
        <w:t xml:space="preserve"> de la Ley Orgánica del Poder Judicial del Estado de Coahuila de Zaragoza</w:t>
      </w:r>
      <w:r w:rsidR="003750C7">
        <w:rPr>
          <w:rFonts w:ascii="Arial" w:hAnsi="Arial" w:cs="Arial"/>
          <w:color w:val="000000"/>
        </w:rPr>
        <w:t xml:space="preserve">, los consejeros del Consejo de la Judicatura emiten el siguiente: </w:t>
      </w:r>
    </w:p>
    <w:p w:rsidR="003C0502" w:rsidRDefault="003C0502" w:rsidP="009417A9">
      <w:pPr>
        <w:spacing w:line="360" w:lineRule="auto"/>
        <w:rPr>
          <w:rFonts w:ascii="Arial" w:hAnsi="Arial" w:cs="Arial"/>
          <w:color w:val="000000"/>
        </w:rPr>
      </w:pPr>
    </w:p>
    <w:p w:rsidR="003750C7" w:rsidRPr="009417A9" w:rsidRDefault="003750C7" w:rsidP="009417A9">
      <w:pPr>
        <w:spacing w:line="360" w:lineRule="auto"/>
        <w:jc w:val="center"/>
        <w:rPr>
          <w:rFonts w:ascii="Arial" w:hAnsi="Arial" w:cs="Arial"/>
          <w:b/>
          <w:color w:val="000000"/>
        </w:rPr>
      </w:pPr>
      <w:r w:rsidRPr="003750C7">
        <w:rPr>
          <w:rFonts w:ascii="Arial" w:hAnsi="Arial" w:cs="Arial"/>
          <w:b/>
          <w:color w:val="000000"/>
        </w:rPr>
        <w:t xml:space="preserve">A C U E R D O </w:t>
      </w:r>
    </w:p>
    <w:p w:rsidR="003750C7" w:rsidRDefault="003750C7" w:rsidP="002F6B1B">
      <w:pPr>
        <w:spacing w:line="360" w:lineRule="auto"/>
        <w:rPr>
          <w:rFonts w:ascii="Arial" w:hAnsi="Arial" w:cs="Arial"/>
          <w:color w:val="000000"/>
        </w:rPr>
      </w:pPr>
    </w:p>
    <w:p w:rsidR="003750C7" w:rsidRDefault="003750C7" w:rsidP="002F6B1B">
      <w:pPr>
        <w:spacing w:line="360" w:lineRule="auto"/>
        <w:rPr>
          <w:rFonts w:ascii="Arial" w:hAnsi="Arial" w:cs="Arial"/>
          <w:color w:val="000000"/>
        </w:rPr>
      </w:pPr>
      <w:r w:rsidRPr="00D906CF">
        <w:rPr>
          <w:rFonts w:ascii="Arial" w:hAnsi="Arial" w:cs="Arial"/>
          <w:b/>
          <w:color w:val="000000"/>
        </w:rPr>
        <w:t>Primero.</w:t>
      </w:r>
      <w:r>
        <w:rPr>
          <w:rFonts w:ascii="Arial" w:hAnsi="Arial" w:cs="Arial"/>
          <w:color w:val="000000"/>
        </w:rPr>
        <w:t xml:space="preserve"> Se aprueba la supresión del Tribunal de Apelación Especializado en Materia de </w:t>
      </w:r>
      <w:r w:rsidR="00D906CF">
        <w:rPr>
          <w:rFonts w:ascii="Arial" w:hAnsi="Arial" w:cs="Arial"/>
          <w:color w:val="000000"/>
        </w:rPr>
        <w:t xml:space="preserve">Adolescentes del Poder Judicial del Estado de Coahuila de Zaragoza a partir del </w:t>
      </w:r>
      <w:r w:rsidR="00184BE0">
        <w:rPr>
          <w:rFonts w:ascii="Arial" w:hAnsi="Arial" w:cs="Arial"/>
          <w:b/>
          <w:color w:val="000000"/>
        </w:rPr>
        <w:t>31</w:t>
      </w:r>
      <w:r w:rsidR="00D906CF" w:rsidRPr="00D906CF">
        <w:rPr>
          <w:rFonts w:ascii="Arial" w:hAnsi="Arial" w:cs="Arial"/>
          <w:b/>
          <w:color w:val="000000"/>
        </w:rPr>
        <w:t xml:space="preserve"> de </w:t>
      </w:r>
      <w:r w:rsidR="00B65192">
        <w:rPr>
          <w:rFonts w:ascii="Arial" w:hAnsi="Arial" w:cs="Arial"/>
          <w:b/>
          <w:color w:val="000000"/>
        </w:rPr>
        <w:t>diciembre</w:t>
      </w:r>
      <w:r w:rsidR="00D906CF" w:rsidRPr="00D906CF">
        <w:rPr>
          <w:rFonts w:ascii="Arial" w:hAnsi="Arial" w:cs="Arial"/>
          <w:b/>
          <w:color w:val="000000"/>
        </w:rPr>
        <w:t xml:space="preserve"> de 2020</w:t>
      </w:r>
      <w:r w:rsidR="00D906CF">
        <w:rPr>
          <w:rFonts w:ascii="Arial" w:hAnsi="Arial" w:cs="Arial"/>
          <w:color w:val="000000"/>
        </w:rPr>
        <w:t xml:space="preserve">. </w:t>
      </w:r>
    </w:p>
    <w:p w:rsidR="002A3E58" w:rsidRDefault="002A3E58" w:rsidP="002F6B1B">
      <w:pPr>
        <w:spacing w:line="360" w:lineRule="auto"/>
        <w:rPr>
          <w:rFonts w:ascii="Arial" w:hAnsi="Arial" w:cs="Arial"/>
          <w:color w:val="000000"/>
        </w:rPr>
      </w:pPr>
    </w:p>
    <w:p w:rsidR="002A3E58" w:rsidRDefault="002A3E58" w:rsidP="002F6B1B">
      <w:pPr>
        <w:spacing w:line="360" w:lineRule="auto"/>
        <w:rPr>
          <w:rFonts w:ascii="Arial" w:hAnsi="Arial" w:cs="Arial"/>
          <w:color w:val="000000"/>
        </w:rPr>
      </w:pPr>
      <w:r w:rsidRPr="002A3E58">
        <w:rPr>
          <w:rFonts w:ascii="Arial" w:hAnsi="Arial" w:cs="Arial"/>
          <w:b/>
          <w:color w:val="000000"/>
        </w:rPr>
        <w:t>Segundo.</w:t>
      </w:r>
      <w:r>
        <w:rPr>
          <w:rFonts w:ascii="Arial" w:hAnsi="Arial" w:cs="Arial"/>
          <w:color w:val="000000"/>
        </w:rPr>
        <w:t xml:space="preserve"> Se aprueba la propuesta a que se refiere la parte considerativa del presente acuerdo, la cual será sometida a consideración del Pleno del Tribunal Superior de Justicia del Estado de Coahuila de Zaragoza. </w:t>
      </w:r>
    </w:p>
    <w:p w:rsidR="00D906CF" w:rsidRDefault="00D906CF" w:rsidP="002F6B1B">
      <w:pPr>
        <w:spacing w:line="360" w:lineRule="auto"/>
        <w:rPr>
          <w:rFonts w:ascii="Arial" w:hAnsi="Arial" w:cs="Arial"/>
          <w:color w:val="000000"/>
        </w:rPr>
      </w:pPr>
    </w:p>
    <w:p w:rsidR="00BB1EEA" w:rsidRDefault="00574745" w:rsidP="00BB1EEA">
      <w:pPr>
        <w:spacing w:line="360" w:lineRule="auto"/>
        <w:rPr>
          <w:rFonts w:ascii="Arial" w:hAnsi="Arial" w:cs="Arial"/>
          <w:color w:val="000000"/>
        </w:rPr>
      </w:pPr>
      <w:r>
        <w:rPr>
          <w:rFonts w:ascii="Arial" w:hAnsi="Arial" w:cs="Arial"/>
          <w:b/>
          <w:color w:val="000000"/>
        </w:rPr>
        <w:t>Tercero</w:t>
      </w:r>
      <w:r w:rsidR="00D906CF" w:rsidRPr="00D8246D">
        <w:rPr>
          <w:rFonts w:ascii="Arial" w:hAnsi="Arial" w:cs="Arial"/>
          <w:b/>
          <w:color w:val="000000"/>
        </w:rPr>
        <w:t>.</w:t>
      </w:r>
      <w:r w:rsidR="00D906CF">
        <w:rPr>
          <w:rFonts w:ascii="Arial" w:hAnsi="Arial" w:cs="Arial"/>
          <w:color w:val="000000"/>
        </w:rPr>
        <w:t xml:space="preserve"> </w:t>
      </w:r>
      <w:r w:rsidR="00BB1EEA">
        <w:rPr>
          <w:rFonts w:ascii="Arial" w:hAnsi="Arial" w:cs="Arial"/>
          <w:color w:val="000000"/>
        </w:rPr>
        <w:t xml:space="preserve">El Tribunal de Apelación Especializado en Materia de Adolecesntes deberá enviar, en su caso, los asuntos que se encuentren en trámite, independientemente de su estado procesal, a la Sala Colegiada Penal o al órgano jurisdiccional que determine el Pleno del Tribunal Superior de Justicia del Estado de Coahuila de Zaragoza. El órgano jurisdiccional que se establezca deberá recibir tales asuntos en los términos y condiciones que </w:t>
      </w:r>
      <w:r w:rsidR="00E81235">
        <w:rPr>
          <w:rFonts w:ascii="Arial" w:hAnsi="Arial" w:cs="Arial"/>
          <w:color w:val="000000"/>
        </w:rPr>
        <w:t>defina</w:t>
      </w:r>
      <w:r w:rsidR="00BB1EEA">
        <w:rPr>
          <w:rFonts w:ascii="Arial" w:hAnsi="Arial" w:cs="Arial"/>
          <w:color w:val="000000"/>
        </w:rPr>
        <w:t xml:space="preserve"> el Pleno de Tribunal Superior de Justicia del Estado. </w:t>
      </w:r>
    </w:p>
    <w:p w:rsidR="00EB590F" w:rsidRDefault="00EB590F" w:rsidP="002F6B1B">
      <w:pPr>
        <w:spacing w:line="360" w:lineRule="auto"/>
        <w:rPr>
          <w:rFonts w:ascii="Arial" w:hAnsi="Arial" w:cs="Arial"/>
          <w:color w:val="000000"/>
        </w:rPr>
      </w:pPr>
    </w:p>
    <w:p w:rsidR="00EB590F" w:rsidRDefault="00574745" w:rsidP="002F6B1B">
      <w:pPr>
        <w:spacing w:line="360" w:lineRule="auto"/>
        <w:rPr>
          <w:rFonts w:ascii="Arial" w:hAnsi="Arial" w:cs="Arial"/>
          <w:color w:val="000000"/>
        </w:rPr>
      </w:pPr>
      <w:r>
        <w:rPr>
          <w:rFonts w:ascii="Arial" w:hAnsi="Arial" w:cs="Arial"/>
          <w:b/>
          <w:color w:val="000000"/>
        </w:rPr>
        <w:t>Cuarto</w:t>
      </w:r>
      <w:r w:rsidR="00EB590F" w:rsidRPr="00EB590F">
        <w:rPr>
          <w:rFonts w:ascii="Arial" w:hAnsi="Arial" w:cs="Arial"/>
          <w:b/>
          <w:color w:val="000000"/>
        </w:rPr>
        <w:t>.</w:t>
      </w:r>
      <w:r w:rsidR="00EB590F">
        <w:rPr>
          <w:rFonts w:ascii="Arial" w:hAnsi="Arial" w:cs="Arial"/>
          <w:color w:val="000000"/>
        </w:rPr>
        <w:t xml:space="preserve"> El órgano jurisdiccional que conocerá de los asuntos competencia del tribunal que se suprime, será aquél que señale el Pleno del Tribunal Superior de Justicia del Estado en el </w:t>
      </w:r>
      <w:r w:rsidR="00935476">
        <w:rPr>
          <w:rFonts w:ascii="Arial" w:hAnsi="Arial" w:cs="Arial"/>
          <w:color w:val="000000"/>
        </w:rPr>
        <w:t>ámbito de su competencia</w:t>
      </w:r>
      <w:r w:rsidR="00EB590F">
        <w:rPr>
          <w:rFonts w:ascii="Arial" w:hAnsi="Arial" w:cs="Arial"/>
          <w:color w:val="000000"/>
        </w:rPr>
        <w:t xml:space="preserve"> a partir de la fecha que </w:t>
      </w:r>
      <w:r w:rsidR="00935476">
        <w:rPr>
          <w:rFonts w:ascii="Arial" w:hAnsi="Arial" w:cs="Arial"/>
          <w:color w:val="000000"/>
        </w:rPr>
        <w:t xml:space="preserve">para tal efecto determine. </w:t>
      </w:r>
    </w:p>
    <w:p w:rsidR="00935476" w:rsidRDefault="00935476" w:rsidP="002F6B1B">
      <w:pPr>
        <w:spacing w:line="360" w:lineRule="auto"/>
        <w:rPr>
          <w:rFonts w:ascii="Arial" w:hAnsi="Arial" w:cs="Arial"/>
          <w:color w:val="000000"/>
        </w:rPr>
      </w:pPr>
    </w:p>
    <w:p w:rsidR="00935476" w:rsidRDefault="00574745" w:rsidP="002F6B1B">
      <w:pPr>
        <w:spacing w:line="360" w:lineRule="auto"/>
        <w:rPr>
          <w:rFonts w:ascii="Arial" w:hAnsi="Arial" w:cs="Arial"/>
          <w:color w:val="000000"/>
        </w:rPr>
      </w:pPr>
      <w:r>
        <w:rPr>
          <w:rFonts w:ascii="Arial" w:hAnsi="Arial" w:cs="Arial"/>
          <w:b/>
          <w:color w:val="000000"/>
        </w:rPr>
        <w:t>Quinto</w:t>
      </w:r>
      <w:r w:rsidR="00935476" w:rsidRPr="00143D80">
        <w:rPr>
          <w:rFonts w:ascii="Arial" w:hAnsi="Arial" w:cs="Arial"/>
          <w:b/>
          <w:color w:val="000000"/>
        </w:rPr>
        <w:t>.</w:t>
      </w:r>
      <w:r w:rsidR="00935476">
        <w:rPr>
          <w:rFonts w:ascii="Arial" w:hAnsi="Arial" w:cs="Arial"/>
          <w:color w:val="000000"/>
        </w:rPr>
        <w:t xml:space="preserve"> Se instruye a la Visitaduría Judicial General para establezca los mecanismos de coordinación con el Pleno del Tribunal Superior de Justicia del Estado y con el Tribunal de Apelación Especializado en Materia de </w:t>
      </w:r>
      <w:r w:rsidR="009A1408">
        <w:rPr>
          <w:rFonts w:ascii="Arial" w:hAnsi="Arial" w:cs="Arial"/>
          <w:color w:val="000000"/>
        </w:rPr>
        <w:t>Adolescentes para el trá</w:t>
      </w:r>
      <w:r w:rsidR="001F4C42">
        <w:rPr>
          <w:rFonts w:ascii="Arial" w:hAnsi="Arial" w:cs="Arial"/>
          <w:color w:val="000000"/>
        </w:rPr>
        <w:t>mite de entrega-</w:t>
      </w:r>
      <w:r w:rsidR="009A1408">
        <w:rPr>
          <w:rFonts w:ascii="Arial" w:hAnsi="Arial" w:cs="Arial"/>
          <w:color w:val="000000"/>
        </w:rPr>
        <w:t xml:space="preserve">recepción por parte </w:t>
      </w:r>
      <w:r w:rsidR="009A1408">
        <w:rPr>
          <w:rFonts w:ascii="Arial" w:hAnsi="Arial" w:cs="Arial"/>
          <w:color w:val="000000"/>
        </w:rPr>
        <w:lastRenderedPageBreak/>
        <w:t>del Tribunal de Adolescentes</w:t>
      </w:r>
      <w:r w:rsidR="00143D80">
        <w:rPr>
          <w:rFonts w:ascii="Arial" w:hAnsi="Arial" w:cs="Arial"/>
          <w:color w:val="000000"/>
        </w:rPr>
        <w:t>,</w:t>
      </w:r>
      <w:r w:rsidR="009A1408">
        <w:rPr>
          <w:rFonts w:ascii="Arial" w:hAnsi="Arial" w:cs="Arial"/>
          <w:color w:val="000000"/>
        </w:rPr>
        <w:t xml:space="preserve"> respecto a la supresión a que se refiere el presente acuerdo, </w:t>
      </w:r>
      <w:r w:rsidR="00143D80">
        <w:rPr>
          <w:rFonts w:ascii="Arial" w:hAnsi="Arial" w:cs="Arial"/>
          <w:color w:val="000000"/>
        </w:rPr>
        <w:t xml:space="preserve">y sobre la transferencia de los asuntos al órgano jurisdiccional que determine el Pleno del Tribunal Superior de Justicia del Estado. </w:t>
      </w:r>
    </w:p>
    <w:p w:rsidR="003E423E" w:rsidRDefault="003E423E" w:rsidP="002F6B1B">
      <w:pPr>
        <w:spacing w:line="360" w:lineRule="auto"/>
        <w:rPr>
          <w:rFonts w:ascii="Arial" w:hAnsi="Arial" w:cs="Arial"/>
          <w:color w:val="000000"/>
        </w:rPr>
      </w:pPr>
    </w:p>
    <w:p w:rsidR="001F4C42" w:rsidRDefault="001F4C42" w:rsidP="002F6B1B">
      <w:pPr>
        <w:spacing w:line="360" w:lineRule="auto"/>
        <w:rPr>
          <w:rFonts w:ascii="Arial" w:hAnsi="Arial" w:cs="Arial"/>
          <w:color w:val="000000"/>
        </w:rPr>
      </w:pPr>
      <w:r>
        <w:rPr>
          <w:rFonts w:ascii="Arial" w:hAnsi="Arial" w:cs="Arial"/>
          <w:color w:val="000000"/>
        </w:rPr>
        <w:t>La Visitaduría Judicial General, en coordinación con el Pleno del Tribunal Superior de Justicia, en respeto al ámbito competencial, deberá resolver las dudas o contrariedades que llegaren a presentarse, debiendo informar al Consejo de la Judicatura el resultado del proceso de entrega-recepción.</w:t>
      </w:r>
    </w:p>
    <w:p w:rsidR="001F4C42" w:rsidRDefault="001F4C42" w:rsidP="002F6B1B">
      <w:pPr>
        <w:spacing w:line="360" w:lineRule="auto"/>
        <w:rPr>
          <w:rFonts w:ascii="Arial" w:hAnsi="Arial" w:cs="Arial"/>
          <w:color w:val="000000"/>
        </w:rPr>
      </w:pPr>
    </w:p>
    <w:p w:rsidR="001F4C42" w:rsidRDefault="00574745" w:rsidP="002F6B1B">
      <w:pPr>
        <w:spacing w:line="360" w:lineRule="auto"/>
        <w:rPr>
          <w:rFonts w:ascii="Arial" w:hAnsi="Arial" w:cs="Arial"/>
          <w:color w:val="000000"/>
        </w:rPr>
      </w:pPr>
      <w:r>
        <w:rPr>
          <w:rFonts w:ascii="Arial" w:hAnsi="Arial" w:cs="Arial"/>
          <w:b/>
          <w:color w:val="000000"/>
        </w:rPr>
        <w:t>Sexto</w:t>
      </w:r>
      <w:r w:rsidR="001F4C42" w:rsidRPr="001F4C42">
        <w:rPr>
          <w:rFonts w:ascii="Arial" w:hAnsi="Arial" w:cs="Arial"/>
          <w:b/>
          <w:color w:val="000000"/>
        </w:rPr>
        <w:t>.</w:t>
      </w:r>
      <w:r w:rsidR="001F4C42">
        <w:rPr>
          <w:rFonts w:ascii="Arial" w:hAnsi="Arial" w:cs="Arial"/>
          <w:color w:val="000000"/>
        </w:rPr>
        <w:t xml:space="preserve"> Respecto al personal adscrito al tribunal especializado que se suprime, el Consejo de la Judicatura determinará lo conducente, para lo cual tomará en cuenta la carrera judicial en los casos que así proceda, la experiencia y la capacidad, así como las disposiciones legales aplicables.</w:t>
      </w:r>
    </w:p>
    <w:p w:rsidR="001F4C42" w:rsidRDefault="001F4C42" w:rsidP="002F6B1B">
      <w:pPr>
        <w:spacing w:line="360" w:lineRule="auto"/>
        <w:rPr>
          <w:rFonts w:ascii="Arial" w:hAnsi="Arial" w:cs="Arial"/>
          <w:color w:val="000000"/>
        </w:rPr>
      </w:pPr>
    </w:p>
    <w:p w:rsidR="001F4C42" w:rsidRDefault="00574745" w:rsidP="002F6B1B">
      <w:pPr>
        <w:spacing w:line="360" w:lineRule="auto"/>
        <w:rPr>
          <w:rFonts w:ascii="Arial" w:hAnsi="Arial" w:cs="Arial"/>
          <w:color w:val="000000"/>
        </w:rPr>
      </w:pPr>
      <w:r>
        <w:rPr>
          <w:rFonts w:ascii="Arial" w:hAnsi="Arial" w:cs="Arial"/>
          <w:b/>
          <w:color w:val="000000"/>
        </w:rPr>
        <w:t>Séptimo</w:t>
      </w:r>
      <w:r w:rsidR="001F4C42" w:rsidRPr="001F4C42">
        <w:rPr>
          <w:rFonts w:ascii="Arial" w:hAnsi="Arial" w:cs="Arial"/>
          <w:b/>
          <w:color w:val="000000"/>
        </w:rPr>
        <w:t>.</w:t>
      </w:r>
      <w:r w:rsidR="001F4C42">
        <w:rPr>
          <w:rFonts w:ascii="Arial" w:hAnsi="Arial" w:cs="Arial"/>
          <w:color w:val="000000"/>
        </w:rPr>
        <w:t xml:space="preserve"> Se instruye a la Oficialía Mayor del Poder Judicial del Estado para que proporcione los recursos que sean necesarios para la ejecución de lo ordenado en el presente acuerdo. </w:t>
      </w:r>
    </w:p>
    <w:p w:rsidR="001F4C42" w:rsidRDefault="001F4C42" w:rsidP="002F6B1B">
      <w:pPr>
        <w:spacing w:line="360" w:lineRule="auto"/>
        <w:rPr>
          <w:rFonts w:ascii="Arial" w:hAnsi="Arial" w:cs="Arial"/>
          <w:color w:val="000000"/>
        </w:rPr>
      </w:pPr>
    </w:p>
    <w:p w:rsidR="001F4C42" w:rsidRDefault="00574745" w:rsidP="002F6B1B">
      <w:pPr>
        <w:spacing w:line="360" w:lineRule="auto"/>
        <w:rPr>
          <w:rFonts w:ascii="Arial" w:hAnsi="Arial" w:cs="Arial"/>
          <w:color w:val="000000"/>
        </w:rPr>
      </w:pPr>
      <w:r>
        <w:rPr>
          <w:rFonts w:ascii="Arial" w:hAnsi="Arial" w:cs="Arial"/>
          <w:b/>
          <w:color w:val="000000"/>
        </w:rPr>
        <w:t>Octav</w:t>
      </w:r>
      <w:r w:rsidR="001F4C42" w:rsidRPr="001F4C42">
        <w:rPr>
          <w:rFonts w:ascii="Arial" w:hAnsi="Arial" w:cs="Arial"/>
          <w:b/>
          <w:color w:val="000000"/>
        </w:rPr>
        <w:t>o.</w:t>
      </w:r>
      <w:r w:rsidR="001F4C42">
        <w:rPr>
          <w:rFonts w:ascii="Arial" w:hAnsi="Arial" w:cs="Arial"/>
          <w:color w:val="000000"/>
        </w:rPr>
        <w:t xml:space="preserve"> Se instruye a la Secretaría de Acuerdo y Trámite del Consejo de la Judicatura </w:t>
      </w:r>
      <w:r w:rsidR="001634E9">
        <w:rPr>
          <w:rFonts w:ascii="Arial" w:hAnsi="Arial" w:cs="Arial"/>
          <w:color w:val="000000"/>
        </w:rPr>
        <w:t>a fin de que</w:t>
      </w:r>
      <w:r w:rsidR="001F4C42">
        <w:rPr>
          <w:rFonts w:ascii="Arial" w:hAnsi="Arial" w:cs="Arial"/>
          <w:color w:val="000000"/>
        </w:rPr>
        <w:t xml:space="preserve"> realice las gestiones correspondientes para lo siguiente: </w:t>
      </w:r>
    </w:p>
    <w:p w:rsidR="003A070C" w:rsidRDefault="003A070C" w:rsidP="002F6B1B">
      <w:pPr>
        <w:spacing w:line="360" w:lineRule="auto"/>
        <w:rPr>
          <w:rFonts w:ascii="Arial" w:hAnsi="Arial" w:cs="Arial"/>
          <w:color w:val="000000"/>
        </w:rPr>
      </w:pPr>
    </w:p>
    <w:p w:rsidR="001F4C42" w:rsidRDefault="001634E9" w:rsidP="001634E9">
      <w:pPr>
        <w:pStyle w:val="Prrafodelista"/>
        <w:numPr>
          <w:ilvl w:val="0"/>
          <w:numId w:val="1"/>
        </w:numPr>
        <w:spacing w:line="360" w:lineRule="auto"/>
        <w:rPr>
          <w:rFonts w:ascii="Arial" w:hAnsi="Arial" w:cs="Arial"/>
          <w:color w:val="000000"/>
        </w:rPr>
      </w:pPr>
      <w:r>
        <w:rPr>
          <w:rFonts w:ascii="Arial" w:hAnsi="Arial" w:cs="Arial"/>
          <w:color w:val="000000"/>
        </w:rPr>
        <w:t>Publicar debidamente el presente acuerdo en el Periódico Oficial del Gobierno del E</w:t>
      </w:r>
      <w:r w:rsidR="005476DD">
        <w:rPr>
          <w:rFonts w:ascii="Arial" w:hAnsi="Arial" w:cs="Arial"/>
          <w:color w:val="000000"/>
        </w:rPr>
        <w:t xml:space="preserve">stado, </w:t>
      </w:r>
      <w:r>
        <w:rPr>
          <w:rFonts w:ascii="Arial" w:hAnsi="Arial" w:cs="Arial"/>
          <w:color w:val="000000"/>
        </w:rPr>
        <w:t>en el sitio web oficial del Poder Judicial del Estado de Coahuila de Z</w:t>
      </w:r>
      <w:r w:rsidR="005476DD">
        <w:rPr>
          <w:rFonts w:ascii="Arial" w:hAnsi="Arial" w:cs="Arial"/>
          <w:color w:val="000000"/>
        </w:rPr>
        <w:t xml:space="preserve">aragoza, y en los estrados de los órganos jurisdiccionales del Poder Judicial del Estado. </w:t>
      </w:r>
    </w:p>
    <w:p w:rsidR="008E4403" w:rsidRDefault="008E4403" w:rsidP="008E4403">
      <w:pPr>
        <w:pStyle w:val="Prrafodelista"/>
        <w:spacing w:line="360" w:lineRule="auto"/>
        <w:rPr>
          <w:rFonts w:ascii="Arial" w:hAnsi="Arial" w:cs="Arial"/>
          <w:color w:val="000000"/>
        </w:rPr>
      </w:pPr>
    </w:p>
    <w:p w:rsidR="001634E9" w:rsidRDefault="001634E9" w:rsidP="001634E9">
      <w:pPr>
        <w:pStyle w:val="Prrafodelista"/>
        <w:numPr>
          <w:ilvl w:val="0"/>
          <w:numId w:val="1"/>
        </w:numPr>
        <w:spacing w:line="360" w:lineRule="auto"/>
        <w:rPr>
          <w:rFonts w:ascii="Arial" w:hAnsi="Arial" w:cs="Arial"/>
          <w:color w:val="000000"/>
        </w:rPr>
      </w:pPr>
      <w:r>
        <w:rPr>
          <w:rFonts w:ascii="Arial" w:hAnsi="Arial" w:cs="Arial"/>
          <w:color w:val="000000"/>
        </w:rPr>
        <w:t xml:space="preserve">Difundir el presente acuerdo entre la ciudadanía en general </w:t>
      </w:r>
      <w:r w:rsidR="005476DD">
        <w:rPr>
          <w:rFonts w:ascii="Arial" w:hAnsi="Arial" w:cs="Arial"/>
          <w:color w:val="000000"/>
        </w:rPr>
        <w:t xml:space="preserve">garantizando su máxima publicidad en redes sociales y demás medios que sean necesarios. </w:t>
      </w:r>
    </w:p>
    <w:p w:rsidR="008E4403" w:rsidRPr="008E4403" w:rsidRDefault="008E4403" w:rsidP="008E4403">
      <w:pPr>
        <w:spacing w:line="360" w:lineRule="auto"/>
        <w:rPr>
          <w:rFonts w:ascii="Arial" w:hAnsi="Arial" w:cs="Arial"/>
          <w:color w:val="000000"/>
        </w:rPr>
      </w:pPr>
    </w:p>
    <w:p w:rsidR="00C8750B" w:rsidRDefault="005476DD" w:rsidP="00FB365E">
      <w:pPr>
        <w:pStyle w:val="Prrafodelista"/>
        <w:numPr>
          <w:ilvl w:val="0"/>
          <w:numId w:val="1"/>
        </w:numPr>
        <w:spacing w:line="360" w:lineRule="auto"/>
        <w:ind w:right="-374"/>
        <w:rPr>
          <w:rFonts w:ascii="Arial" w:hAnsi="Arial" w:cs="Arial"/>
          <w:color w:val="000000"/>
        </w:rPr>
      </w:pPr>
      <w:r>
        <w:rPr>
          <w:rFonts w:ascii="Arial" w:hAnsi="Arial" w:cs="Arial"/>
          <w:color w:val="000000"/>
        </w:rPr>
        <w:t>Remitir las comunicaciones oficiales</w:t>
      </w:r>
      <w:r w:rsidR="00156086">
        <w:rPr>
          <w:rFonts w:ascii="Arial" w:hAnsi="Arial" w:cs="Arial"/>
          <w:color w:val="000000"/>
        </w:rPr>
        <w:t xml:space="preserve"> para el debido conocimiento</w:t>
      </w:r>
      <w:r w:rsidR="000F003E">
        <w:rPr>
          <w:rFonts w:ascii="Arial" w:hAnsi="Arial" w:cs="Arial"/>
          <w:color w:val="000000"/>
        </w:rPr>
        <w:t xml:space="preserve"> y para las gestiones que correspondan</w:t>
      </w:r>
      <w:r w:rsidR="00156086">
        <w:rPr>
          <w:rFonts w:ascii="Arial" w:hAnsi="Arial" w:cs="Arial"/>
          <w:color w:val="000000"/>
        </w:rPr>
        <w:t xml:space="preserve"> a</w:t>
      </w:r>
      <w:r w:rsidR="000F003E">
        <w:rPr>
          <w:rFonts w:ascii="Arial" w:hAnsi="Arial" w:cs="Arial"/>
          <w:color w:val="000000"/>
        </w:rPr>
        <w:t>l</w:t>
      </w:r>
      <w:r>
        <w:rPr>
          <w:rFonts w:ascii="Arial" w:hAnsi="Arial" w:cs="Arial"/>
          <w:color w:val="000000"/>
        </w:rPr>
        <w:t xml:space="preserve"> Pleno del Tribunal Superior de Justicia del Estado de Coahuila de Zaragoza, a los Juzgados de Primera Instancia en Materia Penal del </w:t>
      </w:r>
      <w:r w:rsidR="00BE0BA9">
        <w:rPr>
          <w:rFonts w:ascii="Arial" w:hAnsi="Arial" w:cs="Arial"/>
          <w:color w:val="000000"/>
        </w:rPr>
        <w:t>Sistema Acusatorio y Oral del Poder Judicial del Estado, al Instituto Estatal de Defensoría Pública del Poder Judicial del Estado,</w:t>
      </w:r>
      <w:r w:rsidR="002570DF">
        <w:rPr>
          <w:rFonts w:ascii="Arial" w:hAnsi="Arial" w:cs="Arial"/>
          <w:color w:val="000000"/>
        </w:rPr>
        <w:t xml:space="preserve"> a la Fiscalía General del Estado de Coahuila de Zaragoza</w:t>
      </w:r>
      <w:r w:rsidR="000F003E">
        <w:rPr>
          <w:rFonts w:ascii="Arial" w:hAnsi="Arial" w:cs="Arial"/>
          <w:color w:val="000000"/>
        </w:rPr>
        <w:t xml:space="preserve">, a la Comisión Ejecutiva </w:t>
      </w:r>
      <w:r w:rsidR="00AF0028">
        <w:rPr>
          <w:rFonts w:ascii="Arial" w:hAnsi="Arial" w:cs="Arial"/>
          <w:color w:val="000000"/>
        </w:rPr>
        <w:t>Estatal de Atención a Víctimas en el Estado de Coahuila de Zaragoza,</w:t>
      </w:r>
      <w:r w:rsidR="00BE0BA9">
        <w:rPr>
          <w:rFonts w:ascii="Arial" w:hAnsi="Arial" w:cs="Arial"/>
          <w:color w:val="000000"/>
        </w:rPr>
        <w:t xml:space="preserve"> y a las dem</w:t>
      </w:r>
      <w:r w:rsidR="00AF0028">
        <w:rPr>
          <w:rFonts w:ascii="Arial" w:hAnsi="Arial" w:cs="Arial"/>
          <w:color w:val="000000"/>
        </w:rPr>
        <w:t>ás instancias competentes.</w:t>
      </w:r>
    </w:p>
    <w:p w:rsidR="00F54D7F" w:rsidRPr="00F54D7F" w:rsidRDefault="00161BBD" w:rsidP="00F54D7F">
      <w:pPr>
        <w:pStyle w:val="Prrafodelista"/>
        <w:ind w:left="0"/>
        <w:rPr>
          <w:rFonts w:ascii="Arial" w:hAnsi="Arial" w:cs="Arial"/>
          <w:color w:val="000000"/>
        </w:rPr>
      </w:pPr>
      <w:bookmarkStart w:id="0" w:name="_GoBack"/>
      <w:r w:rsidRPr="00161BBD">
        <w:rPr>
          <w:rFonts w:ascii="Arial" w:hAnsi="Arial" w:cs="Arial"/>
          <w:noProof/>
          <w:color w:val="000000"/>
          <w:lang w:val="es-MX" w:eastAsia="es-MX"/>
        </w:rPr>
        <w:lastRenderedPageBreak/>
        <w:drawing>
          <wp:anchor distT="0" distB="0" distL="114300" distR="114300" simplePos="0" relativeHeight="251658240" behindDoc="0" locked="0" layoutInCell="1" allowOverlap="1">
            <wp:simplePos x="0" y="0"/>
            <wp:positionH relativeFrom="column">
              <wp:posOffset>-1790700</wp:posOffset>
            </wp:positionH>
            <wp:positionV relativeFrom="paragraph">
              <wp:posOffset>-1070610</wp:posOffset>
            </wp:positionV>
            <wp:extent cx="7760335" cy="12782550"/>
            <wp:effectExtent l="0" t="0" r="0" b="0"/>
            <wp:wrapThrough wrapText="bothSides">
              <wp:wrapPolygon edited="0">
                <wp:start x="0" y="0"/>
                <wp:lineTo x="0" y="21568"/>
                <wp:lineTo x="21528" y="21568"/>
                <wp:lineTo x="21528" y="0"/>
                <wp:lineTo x="0" y="0"/>
              </wp:wrapPolygon>
            </wp:wrapThrough>
            <wp:docPr id="1" name="Imagen 1" descr="C:\Users\PJE-Usuario\Desktop\mandar x correo\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E-Usuario\Desktop\mandar x correo\1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0335" cy="12782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F54D7F" w:rsidRPr="00F54D7F" w:rsidSect="008E60B7">
      <w:footerReference w:type="default" r:id="rId9"/>
      <w:pgSz w:w="12242" w:h="20163" w:code="5"/>
      <w:pgMar w:top="1701" w:right="1418" w:bottom="1418"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1E" w:rsidRDefault="00675D1E" w:rsidP="00764728">
      <w:pPr>
        <w:spacing w:line="240" w:lineRule="auto"/>
      </w:pPr>
      <w:r>
        <w:separator/>
      </w:r>
    </w:p>
  </w:endnote>
  <w:endnote w:type="continuationSeparator" w:id="0">
    <w:p w:rsidR="00675D1E" w:rsidRDefault="00675D1E" w:rsidP="00764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49" w:rsidRDefault="00C26395" w:rsidP="00CE1449">
    <w:pPr>
      <w:pStyle w:val="Piedepgina"/>
      <w:jc w:val="right"/>
    </w:pPr>
    <w:r>
      <w:fldChar w:fldCharType="begin"/>
    </w:r>
    <w:r w:rsidR="00CE1449">
      <w:instrText xml:space="preserve"> PAGE   \* MERGEFORMAT </w:instrText>
    </w:r>
    <w:r>
      <w:fldChar w:fldCharType="separate"/>
    </w:r>
    <w:r w:rsidR="00161BBD">
      <w:rPr>
        <w:noProof/>
      </w:rPr>
      <w:t>7</w:t>
    </w:r>
    <w:r>
      <w:rPr>
        <w:noProof/>
      </w:rPr>
      <w:fldChar w:fldCharType="end"/>
    </w:r>
  </w:p>
  <w:p w:rsidR="00CE1449" w:rsidRDefault="00CE14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1E" w:rsidRDefault="00675D1E" w:rsidP="00764728">
      <w:pPr>
        <w:spacing w:line="240" w:lineRule="auto"/>
      </w:pPr>
      <w:r>
        <w:separator/>
      </w:r>
    </w:p>
  </w:footnote>
  <w:footnote w:type="continuationSeparator" w:id="0">
    <w:p w:rsidR="00675D1E" w:rsidRDefault="00675D1E" w:rsidP="00764728">
      <w:pPr>
        <w:spacing w:line="240" w:lineRule="auto"/>
      </w:pPr>
      <w:r>
        <w:continuationSeparator/>
      </w:r>
    </w:p>
  </w:footnote>
  <w:footnote w:id="1">
    <w:p w:rsidR="00CE1449" w:rsidRPr="003E423E" w:rsidRDefault="00CE1449">
      <w:pPr>
        <w:pStyle w:val="Textonotapie"/>
        <w:rPr>
          <w:rFonts w:ascii="Arial" w:hAnsi="Arial" w:cs="Arial"/>
          <w:sz w:val="18"/>
          <w:szCs w:val="18"/>
          <w:lang w:val="es-MX"/>
        </w:rPr>
      </w:pPr>
      <w:r w:rsidRPr="003E423E">
        <w:rPr>
          <w:rStyle w:val="Refdenotaalpie"/>
          <w:rFonts w:ascii="Arial" w:hAnsi="Arial" w:cs="Arial"/>
          <w:sz w:val="18"/>
          <w:szCs w:val="18"/>
        </w:rPr>
        <w:footnoteRef/>
      </w:r>
      <w:r w:rsidRPr="003E423E">
        <w:rPr>
          <w:rFonts w:ascii="Arial" w:hAnsi="Arial" w:cs="Arial"/>
          <w:sz w:val="18"/>
          <w:szCs w:val="18"/>
        </w:rPr>
        <w:t xml:space="preserve"> </w:t>
      </w:r>
      <w:r w:rsidRPr="003E423E">
        <w:rPr>
          <w:rFonts w:ascii="Arial" w:hAnsi="Arial" w:cs="Arial"/>
          <w:sz w:val="18"/>
          <w:szCs w:val="18"/>
          <w:lang w:val="es-MX"/>
        </w:rPr>
        <w:t>Por instrucción del Consejo de la Judicatura del Estado, este acuerdo se publicó en el Periódico Oficial del Gobierno del Estado de Coahuila de Zaragoza el 29 de septiembres 2006. Acuerdo disponible</w:t>
      </w:r>
      <w:r w:rsidR="00986EE1" w:rsidRPr="003E423E">
        <w:rPr>
          <w:rFonts w:ascii="Arial" w:hAnsi="Arial" w:cs="Arial"/>
          <w:sz w:val="18"/>
          <w:szCs w:val="18"/>
          <w:lang w:val="es-MX"/>
        </w:rPr>
        <w:t xml:space="preserve"> en</w:t>
      </w:r>
      <w:r w:rsidRPr="003E423E">
        <w:rPr>
          <w:rFonts w:ascii="Arial" w:hAnsi="Arial" w:cs="Arial"/>
          <w:sz w:val="18"/>
          <w:szCs w:val="18"/>
          <w:lang w:val="es-MX"/>
        </w:rPr>
        <w:t xml:space="preserve">: </w:t>
      </w:r>
      <w:r w:rsidRPr="003E423E">
        <w:rPr>
          <w:rFonts w:ascii="Arial" w:hAnsi="Arial" w:cs="Arial"/>
          <w:i/>
          <w:sz w:val="18"/>
          <w:szCs w:val="18"/>
          <w:lang w:val="es-MX"/>
        </w:rPr>
        <w:t>http://periodico.sfpcoahuila.gob.mx/ArchivosPO/78-PS-29-SEP-2006.PDF</w:t>
      </w:r>
    </w:p>
  </w:footnote>
  <w:footnote w:id="2">
    <w:p w:rsidR="00CE1449" w:rsidRPr="003E423E" w:rsidRDefault="00CE1449" w:rsidP="00FE4D78">
      <w:pPr>
        <w:pStyle w:val="Textonotapie"/>
        <w:rPr>
          <w:rFonts w:ascii="Arial" w:hAnsi="Arial" w:cs="Arial"/>
          <w:sz w:val="18"/>
          <w:szCs w:val="18"/>
          <w:lang w:val="es-MX"/>
        </w:rPr>
      </w:pPr>
      <w:r w:rsidRPr="003E423E">
        <w:rPr>
          <w:rStyle w:val="Refdenotaalpie"/>
          <w:rFonts w:ascii="Arial" w:hAnsi="Arial" w:cs="Arial"/>
          <w:sz w:val="18"/>
          <w:szCs w:val="18"/>
        </w:rPr>
        <w:footnoteRef/>
      </w:r>
      <w:r w:rsidRPr="003E423E">
        <w:rPr>
          <w:rFonts w:ascii="Arial" w:hAnsi="Arial" w:cs="Arial"/>
          <w:sz w:val="18"/>
          <w:szCs w:val="18"/>
        </w:rPr>
        <w:t xml:space="preserve"> </w:t>
      </w:r>
      <w:r w:rsidRPr="003E423E">
        <w:rPr>
          <w:rFonts w:ascii="Arial" w:hAnsi="Arial" w:cs="Arial"/>
          <w:sz w:val="18"/>
          <w:szCs w:val="18"/>
          <w:lang w:val="es-MX"/>
        </w:rPr>
        <w:t xml:space="preserve">Tribunal Pleno de la Suprema Corte de Justicia de la Nación, tesis P./J. 63/2008. Rubro. SISTEMA INTEGRAL DE JUSTICIA PARA ADOLESCENTES. EL TÉRMINO “ESPECIALIZADOS” UTILIZADO EN EL ÁRTICULO 18 DE LA CONSTITUCIÓN SE REFIERE AL PERFIL DEL FUNCIONARIO Y A LA COMPETENCIA LEGAL EXPRESA DEL ÓRGANO PERTENECIENTE A ESE SISTEMA. Semanario Judicial de la Federación y su Gaceta. Tomo XXVIII, septiembre de 2008, p. 619. Registro: 168773. </w:t>
      </w:r>
    </w:p>
  </w:footnote>
  <w:footnote w:id="3">
    <w:p w:rsidR="00CE1449" w:rsidRPr="00FE4D78" w:rsidRDefault="00CE1449" w:rsidP="00FE4D78">
      <w:pPr>
        <w:pStyle w:val="Textonotapie"/>
        <w:rPr>
          <w:lang w:val="es-MX"/>
        </w:rPr>
      </w:pPr>
      <w:r w:rsidRPr="003E423E">
        <w:rPr>
          <w:rStyle w:val="Refdenotaalpie"/>
          <w:rFonts w:ascii="Arial" w:hAnsi="Arial" w:cs="Arial"/>
          <w:sz w:val="18"/>
          <w:szCs w:val="18"/>
        </w:rPr>
        <w:footnoteRef/>
      </w:r>
      <w:r w:rsidRPr="003E423E">
        <w:rPr>
          <w:rFonts w:ascii="Arial" w:hAnsi="Arial" w:cs="Arial"/>
          <w:sz w:val="18"/>
          <w:szCs w:val="18"/>
        </w:rPr>
        <w:t xml:space="preserve"> </w:t>
      </w:r>
      <w:r w:rsidRPr="003E423E">
        <w:rPr>
          <w:rFonts w:ascii="Arial" w:hAnsi="Arial" w:cs="Arial"/>
          <w:sz w:val="18"/>
          <w:szCs w:val="18"/>
          <w:lang w:val="es-MX"/>
        </w:rPr>
        <w:t>Ídem.</w:t>
      </w:r>
      <w:r w:rsidRPr="003E423E">
        <w:rPr>
          <w:sz w:val="18"/>
          <w:szCs w:val="18"/>
          <w:lang w:val="es-MX"/>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2647C"/>
    <w:multiLevelType w:val="hybridMultilevel"/>
    <w:tmpl w:val="87B6D28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6B1B"/>
    <w:rsid w:val="00006B5C"/>
    <w:rsid w:val="00007D91"/>
    <w:rsid w:val="00051801"/>
    <w:rsid w:val="000807B6"/>
    <w:rsid w:val="000A796B"/>
    <w:rsid w:val="000B3DA5"/>
    <w:rsid w:val="000F003E"/>
    <w:rsid w:val="00100EFA"/>
    <w:rsid w:val="0013548F"/>
    <w:rsid w:val="00143D80"/>
    <w:rsid w:val="00156086"/>
    <w:rsid w:val="00157329"/>
    <w:rsid w:val="00161BBD"/>
    <w:rsid w:val="001634E9"/>
    <w:rsid w:val="0016461A"/>
    <w:rsid w:val="00164720"/>
    <w:rsid w:val="00165A95"/>
    <w:rsid w:val="00175BAC"/>
    <w:rsid w:val="00177269"/>
    <w:rsid w:val="00184BE0"/>
    <w:rsid w:val="001A451C"/>
    <w:rsid w:val="001A7A87"/>
    <w:rsid w:val="001E4DCD"/>
    <w:rsid w:val="001F4C42"/>
    <w:rsid w:val="001F56FA"/>
    <w:rsid w:val="0020441C"/>
    <w:rsid w:val="00205C31"/>
    <w:rsid w:val="00224015"/>
    <w:rsid w:val="00236144"/>
    <w:rsid w:val="002362B2"/>
    <w:rsid w:val="00236B91"/>
    <w:rsid w:val="002570DF"/>
    <w:rsid w:val="002716FB"/>
    <w:rsid w:val="002A12ED"/>
    <w:rsid w:val="002A3E0C"/>
    <w:rsid w:val="002A3E58"/>
    <w:rsid w:val="002C5EBE"/>
    <w:rsid w:val="002D10B6"/>
    <w:rsid w:val="002D7EBA"/>
    <w:rsid w:val="002F0578"/>
    <w:rsid w:val="002F6B1B"/>
    <w:rsid w:val="003278E1"/>
    <w:rsid w:val="00334A25"/>
    <w:rsid w:val="00367F74"/>
    <w:rsid w:val="003750C7"/>
    <w:rsid w:val="0037529C"/>
    <w:rsid w:val="00387017"/>
    <w:rsid w:val="003A070C"/>
    <w:rsid w:val="003C0502"/>
    <w:rsid w:val="003C059C"/>
    <w:rsid w:val="003C2A08"/>
    <w:rsid w:val="003D58A0"/>
    <w:rsid w:val="003E423E"/>
    <w:rsid w:val="003F2C86"/>
    <w:rsid w:val="00407240"/>
    <w:rsid w:val="00410841"/>
    <w:rsid w:val="00411F9C"/>
    <w:rsid w:val="00441900"/>
    <w:rsid w:val="004576BF"/>
    <w:rsid w:val="0046110F"/>
    <w:rsid w:val="00491282"/>
    <w:rsid w:val="00491286"/>
    <w:rsid w:val="004A62EF"/>
    <w:rsid w:val="004B1C51"/>
    <w:rsid w:val="005476DD"/>
    <w:rsid w:val="00574745"/>
    <w:rsid w:val="00586D3F"/>
    <w:rsid w:val="00590CD1"/>
    <w:rsid w:val="005D0F4D"/>
    <w:rsid w:val="00601562"/>
    <w:rsid w:val="00606F66"/>
    <w:rsid w:val="006122FA"/>
    <w:rsid w:val="006400F3"/>
    <w:rsid w:val="006609C1"/>
    <w:rsid w:val="00674E23"/>
    <w:rsid w:val="00675D1E"/>
    <w:rsid w:val="0069720D"/>
    <w:rsid w:val="006D3923"/>
    <w:rsid w:val="006F5E4F"/>
    <w:rsid w:val="0071418F"/>
    <w:rsid w:val="00716569"/>
    <w:rsid w:val="007309EA"/>
    <w:rsid w:val="00733F98"/>
    <w:rsid w:val="0074072C"/>
    <w:rsid w:val="00746780"/>
    <w:rsid w:val="00764728"/>
    <w:rsid w:val="00767C14"/>
    <w:rsid w:val="007736A8"/>
    <w:rsid w:val="007A3E46"/>
    <w:rsid w:val="0082758D"/>
    <w:rsid w:val="00865938"/>
    <w:rsid w:val="008704AE"/>
    <w:rsid w:val="0087669E"/>
    <w:rsid w:val="008A2763"/>
    <w:rsid w:val="008E4403"/>
    <w:rsid w:val="008E60B7"/>
    <w:rsid w:val="009257E8"/>
    <w:rsid w:val="00935476"/>
    <w:rsid w:val="009417A9"/>
    <w:rsid w:val="009505B1"/>
    <w:rsid w:val="00951A85"/>
    <w:rsid w:val="00976823"/>
    <w:rsid w:val="00986EE1"/>
    <w:rsid w:val="009A1408"/>
    <w:rsid w:val="009D2056"/>
    <w:rsid w:val="00A12158"/>
    <w:rsid w:val="00A134F6"/>
    <w:rsid w:val="00A3185B"/>
    <w:rsid w:val="00A547A7"/>
    <w:rsid w:val="00A7014A"/>
    <w:rsid w:val="00A730DB"/>
    <w:rsid w:val="00A921B7"/>
    <w:rsid w:val="00AA1EEC"/>
    <w:rsid w:val="00AA264E"/>
    <w:rsid w:val="00AC6011"/>
    <w:rsid w:val="00AD36BB"/>
    <w:rsid w:val="00AE00CE"/>
    <w:rsid w:val="00AF0028"/>
    <w:rsid w:val="00B65192"/>
    <w:rsid w:val="00B6673E"/>
    <w:rsid w:val="00B80158"/>
    <w:rsid w:val="00BB1EEA"/>
    <w:rsid w:val="00BB5F55"/>
    <w:rsid w:val="00BB6D60"/>
    <w:rsid w:val="00BC75DB"/>
    <w:rsid w:val="00BD625E"/>
    <w:rsid w:val="00BE0BA9"/>
    <w:rsid w:val="00BF18D2"/>
    <w:rsid w:val="00BF4C6A"/>
    <w:rsid w:val="00C161F9"/>
    <w:rsid w:val="00C26395"/>
    <w:rsid w:val="00C639BC"/>
    <w:rsid w:val="00C64838"/>
    <w:rsid w:val="00C85E07"/>
    <w:rsid w:val="00C8750B"/>
    <w:rsid w:val="00C94C90"/>
    <w:rsid w:val="00CD6E44"/>
    <w:rsid w:val="00CE1449"/>
    <w:rsid w:val="00D01578"/>
    <w:rsid w:val="00D56C62"/>
    <w:rsid w:val="00D76066"/>
    <w:rsid w:val="00D8246D"/>
    <w:rsid w:val="00D906CF"/>
    <w:rsid w:val="00DE2CC1"/>
    <w:rsid w:val="00E55F0F"/>
    <w:rsid w:val="00E67B74"/>
    <w:rsid w:val="00E81235"/>
    <w:rsid w:val="00E96948"/>
    <w:rsid w:val="00EB590F"/>
    <w:rsid w:val="00EF0F1A"/>
    <w:rsid w:val="00EF575A"/>
    <w:rsid w:val="00F54D0A"/>
    <w:rsid w:val="00F54D7F"/>
    <w:rsid w:val="00F624C3"/>
    <w:rsid w:val="00F97B48"/>
    <w:rsid w:val="00FA57E1"/>
    <w:rsid w:val="00FB365E"/>
    <w:rsid w:val="00FD12FC"/>
    <w:rsid w:val="00FE198B"/>
    <w:rsid w:val="00FE4D78"/>
    <w:rsid w:val="00FF4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67CFF-C7E4-443C-A209-C80950ED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B1B"/>
    <w:pPr>
      <w:widowControl w:val="0"/>
      <w:adjustRightInd w:val="0"/>
      <w:spacing w:after="0" w:line="360" w:lineRule="atLeast"/>
      <w:jc w:val="both"/>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6B1B"/>
    <w:pPr>
      <w:spacing w:after="0" w:line="240" w:lineRule="auto"/>
    </w:pPr>
    <w:rPr>
      <w:rFonts w:ascii="Calibri" w:eastAsia="Calibri" w:hAnsi="Calibri" w:cs="Times New Roman"/>
    </w:rPr>
  </w:style>
  <w:style w:type="paragraph" w:customStyle="1" w:styleId="Default">
    <w:name w:val="Default"/>
    <w:rsid w:val="002F6B1B"/>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2F6B1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F6B1B"/>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764728"/>
    <w:pPr>
      <w:spacing w:line="240" w:lineRule="auto"/>
    </w:pPr>
    <w:rPr>
      <w:sz w:val="20"/>
      <w:szCs w:val="20"/>
    </w:rPr>
  </w:style>
  <w:style w:type="character" w:customStyle="1" w:styleId="TextonotapieCar">
    <w:name w:val="Texto nota pie Car"/>
    <w:basedOn w:val="Fuentedeprrafopredeter"/>
    <w:link w:val="Textonotapie"/>
    <w:uiPriority w:val="99"/>
    <w:semiHidden/>
    <w:rsid w:val="0076472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64728"/>
    <w:rPr>
      <w:vertAlign w:val="superscript"/>
    </w:rPr>
  </w:style>
  <w:style w:type="character" w:styleId="Hipervnculo">
    <w:name w:val="Hyperlink"/>
    <w:basedOn w:val="Fuentedeprrafopredeter"/>
    <w:uiPriority w:val="99"/>
    <w:unhideWhenUsed/>
    <w:rsid w:val="00A3185B"/>
    <w:rPr>
      <w:color w:val="0000FF" w:themeColor="hyperlink"/>
      <w:u w:val="single"/>
    </w:rPr>
  </w:style>
  <w:style w:type="paragraph" w:styleId="Prrafodelista">
    <w:name w:val="List Paragraph"/>
    <w:basedOn w:val="Normal"/>
    <w:uiPriority w:val="34"/>
    <w:qFormat/>
    <w:rsid w:val="001634E9"/>
    <w:pPr>
      <w:ind w:left="720"/>
      <w:contextualSpacing/>
    </w:pPr>
  </w:style>
  <w:style w:type="paragraph" w:styleId="Textodeglobo">
    <w:name w:val="Balloon Text"/>
    <w:basedOn w:val="Normal"/>
    <w:link w:val="TextodegloboCar"/>
    <w:uiPriority w:val="99"/>
    <w:semiHidden/>
    <w:unhideWhenUsed/>
    <w:rsid w:val="002A12E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12E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6F6A-E6E2-464E-AEE3-5E4B5B39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2018</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PJE-Usuario</cp:lastModifiedBy>
  <cp:revision>6</cp:revision>
  <cp:lastPrinted>2020-12-16T18:14:00Z</cp:lastPrinted>
  <dcterms:created xsi:type="dcterms:W3CDTF">2020-12-10T22:55:00Z</dcterms:created>
  <dcterms:modified xsi:type="dcterms:W3CDTF">2020-12-16T21:45:00Z</dcterms:modified>
</cp:coreProperties>
</file>